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heme="minorEastAsia" w:hAnsiTheme="minorEastAsia" w:eastAsiaTheme="minorEastAsia"/>
          <w:sz w:val="36"/>
        </w:rPr>
      </w:pPr>
      <w:bookmarkStart w:id="0" w:name="_Toc467853971"/>
      <w:r>
        <w:rPr>
          <w:rFonts w:hint="eastAsia" w:asciiTheme="minorEastAsia" w:hAnsiTheme="minorEastAsia" w:eastAsiaTheme="minorEastAsia"/>
          <w:sz w:val="36"/>
        </w:rPr>
        <w:t>土木类教学质量国家标准（给排水科学与工程专业）</w:t>
      </w:r>
      <w:bookmarkEnd w:id="0"/>
    </w:p>
    <w:p>
      <w:pPr>
        <w:pStyle w:val="2"/>
        <w:spacing w:before="156" w:beforeLines="50" w:after="156" w:afterLines="50"/>
        <w:ind w:right="221" w:firstLine="480" w:firstLineChars="200"/>
        <w:rPr>
          <w:rFonts w:ascii="Times New Roman" w:hAnsi="Times New Roman" w:eastAsia="黑体"/>
          <w:b w:val="0"/>
          <w:sz w:val="24"/>
        </w:rPr>
      </w:pPr>
      <w:bookmarkStart w:id="1" w:name="_Toc467853972"/>
      <w:bookmarkStart w:id="2" w:name="_Toc423033977"/>
      <w:r>
        <w:rPr>
          <w:rFonts w:hint="eastAsia" w:ascii="Times New Roman" w:hAnsi="Times New Roman" w:eastAsia="黑体"/>
          <w:b w:val="0"/>
          <w:sz w:val="24"/>
        </w:rPr>
        <w:t>1  概述</w:t>
      </w:r>
      <w:bookmarkEnd w:id="1"/>
      <w:bookmarkEnd w:id="2"/>
    </w:p>
    <w:p>
      <w:pPr>
        <w:spacing w:line="360" w:lineRule="auto"/>
        <w:ind w:firstLine="420" w:firstLineChars="200"/>
        <w:rPr>
          <w:rFonts w:ascii="宋体" w:hAnsi="宋体"/>
          <w:szCs w:val="21"/>
        </w:rPr>
      </w:pPr>
      <w:r>
        <w:rPr>
          <w:rFonts w:hint="eastAsia" w:ascii="宋体" w:hAnsi="宋体"/>
          <w:szCs w:val="21"/>
        </w:rPr>
        <w:t>给排水科学与工程专业是工学门类土木类专业。服务于国民经济建设和发展中与给水排水相关的领域。</w:t>
      </w:r>
    </w:p>
    <w:p>
      <w:pPr>
        <w:spacing w:line="360" w:lineRule="auto"/>
        <w:ind w:firstLine="420" w:firstLineChars="200"/>
        <w:rPr>
          <w:rFonts w:ascii="宋体" w:hAnsi="宋体"/>
          <w:szCs w:val="21"/>
        </w:rPr>
      </w:pPr>
      <w:r>
        <w:rPr>
          <w:rFonts w:hint="eastAsia" w:ascii="宋体" w:hAnsi="宋体"/>
          <w:szCs w:val="21"/>
        </w:rPr>
        <w:t>水是人类生命与社会文明的基础。水是生命之源，是社会发展的基本资源条件。水资源具有不可替代性、有限性和可再生性的特点。</w:t>
      </w:r>
    </w:p>
    <w:p>
      <w:pPr>
        <w:spacing w:line="360" w:lineRule="auto"/>
        <w:ind w:firstLine="420" w:firstLineChars="200"/>
        <w:rPr>
          <w:rFonts w:ascii="宋体" w:hAnsi="宋体"/>
          <w:szCs w:val="21"/>
        </w:rPr>
      </w:pPr>
      <w:r>
        <w:rPr>
          <w:rFonts w:hint="eastAsia" w:ascii="宋体" w:hAnsi="宋体"/>
          <w:szCs w:val="21"/>
        </w:rPr>
        <w:t>给水排水工程是城乡建设的重要基础设施，是城乡水系统循环的实施主体，是实现水资源可持续利用和城乡可持续发展的重要保障。其以城乡及工业为主要对象，主要从事水的开采、加工、输送、回收及利用，满足城乡生活和工业生产的用水需求，并将生活污水和工业废水收集、净化与再生利用等，实现水的良性社会循环。产业主体是给水排水等相关企业，并广泛涉及相关的科研设计、工程技术、设备制造、管理等领域，给排水科学与工程正是为其提供技术与人才支撑的核心学科专业。</w:t>
      </w:r>
    </w:p>
    <w:p>
      <w:pPr>
        <w:spacing w:line="360" w:lineRule="auto"/>
        <w:ind w:firstLine="420" w:firstLineChars="200"/>
        <w:rPr>
          <w:rFonts w:ascii="宋体" w:hAnsi="宋体"/>
          <w:szCs w:val="21"/>
        </w:rPr>
      </w:pPr>
      <w:r>
        <w:rPr>
          <w:rFonts w:hint="eastAsia" w:ascii="宋体" w:hAnsi="宋体"/>
          <w:szCs w:val="21"/>
        </w:rPr>
        <w:t>给排水科学与工程专业以化学、生物学、水力学为主要学科基础，综合运用工程力学、材料、设备、仪表与控制、信息科学、管理、运营、经济、法律等相关学科知识与技术，不断吸收融合分子生物学、纳米科学与技术、膜科学与技术、痕量分析与检测技术等现代科学技术成果，面对以水资源紧缺、水污染严重、洪涝灾害为标志的水危机，以实现水的良性社会循环为理念，解决给水排水行业的工艺技术及工程设计、施工与运行管理等问题。</w:t>
      </w:r>
    </w:p>
    <w:p>
      <w:pPr>
        <w:spacing w:line="360" w:lineRule="auto"/>
        <w:ind w:firstLine="420" w:firstLineChars="200"/>
        <w:rPr>
          <w:rFonts w:ascii="宋体" w:hAnsi="宋体"/>
          <w:szCs w:val="21"/>
        </w:rPr>
      </w:pPr>
      <w:r>
        <w:rPr>
          <w:rFonts w:hint="eastAsia" w:ascii="宋体" w:hAnsi="宋体"/>
          <w:szCs w:val="21"/>
        </w:rPr>
        <w:t>给排水科学与工程专业培养的人才应掌握解决给水排水工程问题的理论和方法，包括：水资源利用与保护、水质工程学、给水排水管网系统、建筑给水排水工程的基本原理与设计方法；熟悉给水排水工程结构、材料与设备的基础知识，熟悉工艺系统的控制原理，熟悉给水排水工程施工与运营管理的知识和方法；了解给水排水工程发展历史、相关学科的基本知识及其与本专业的关系；了解工程规划、工程设计与工程施工的相关程序和要求；了解本专业有关的法律、法规、标准和规范。</w:t>
      </w:r>
    </w:p>
    <w:p>
      <w:pPr>
        <w:spacing w:line="360" w:lineRule="auto"/>
        <w:ind w:firstLine="420" w:firstLineChars="200"/>
        <w:rPr>
          <w:rFonts w:ascii="宋体" w:hAnsi="宋体"/>
          <w:szCs w:val="21"/>
        </w:rPr>
      </w:pPr>
      <w:r>
        <w:rPr>
          <w:rFonts w:hint="eastAsia" w:ascii="宋体" w:hAnsi="宋体"/>
          <w:szCs w:val="21"/>
        </w:rPr>
        <w:t>给排水科学与工程专业培养的专业人才，主要服务于水资源利用与保护、城乡给水排水、建筑给水排水、工业给水排水和节水工程技术等方面。</w:t>
      </w:r>
    </w:p>
    <w:p>
      <w:pPr>
        <w:pStyle w:val="2"/>
        <w:spacing w:before="156" w:beforeLines="50" w:after="156" w:afterLines="50"/>
        <w:ind w:right="221" w:firstLine="480" w:firstLineChars="200"/>
        <w:rPr>
          <w:rFonts w:ascii="Times New Roman" w:hAnsi="Times New Roman" w:eastAsia="黑体"/>
          <w:b w:val="0"/>
          <w:sz w:val="24"/>
        </w:rPr>
      </w:pPr>
      <w:bookmarkStart w:id="3" w:name="_Toc423033978"/>
      <w:bookmarkStart w:id="4" w:name="_Toc467853973"/>
      <w:r>
        <w:rPr>
          <w:rFonts w:hint="eastAsia" w:ascii="Times New Roman" w:hAnsi="Times New Roman" w:eastAsia="黑体"/>
          <w:b w:val="0"/>
          <w:sz w:val="24"/>
        </w:rPr>
        <w:t>2  适用专业范围</w:t>
      </w:r>
      <w:bookmarkEnd w:id="3"/>
      <w:bookmarkEnd w:id="4"/>
    </w:p>
    <w:p>
      <w:pPr>
        <w:spacing w:line="500" w:lineRule="exact"/>
        <w:ind w:firstLine="560"/>
        <w:rPr>
          <w:rFonts w:ascii="Times New Roman" w:hAnsi="Times New Roman" w:eastAsia="黑体"/>
          <w:szCs w:val="21"/>
        </w:rPr>
      </w:pPr>
      <w:bookmarkStart w:id="5" w:name="_Toc423033979"/>
      <w:bookmarkStart w:id="6" w:name="_Toc467853974"/>
      <w:r>
        <w:rPr>
          <w:rFonts w:hint="eastAsia" w:ascii="Times New Roman" w:hAnsi="Times New Roman" w:eastAsia="黑体"/>
          <w:szCs w:val="21"/>
        </w:rPr>
        <w:t>2.1  专业类代码</w:t>
      </w:r>
      <w:bookmarkEnd w:id="5"/>
      <w:bookmarkEnd w:id="6"/>
    </w:p>
    <w:p>
      <w:pPr>
        <w:spacing w:line="360" w:lineRule="auto"/>
        <w:ind w:firstLine="560"/>
        <w:rPr>
          <w:rFonts w:ascii="Times New Roman" w:hAnsi="Times New Roman"/>
          <w:szCs w:val="21"/>
        </w:rPr>
      </w:pPr>
      <w:r>
        <w:rPr>
          <w:rFonts w:hint="eastAsia" w:ascii="Times New Roman" w:hAnsi="Times New Roman"/>
          <w:szCs w:val="21"/>
        </w:rPr>
        <w:t>土木类（0810）</w:t>
      </w:r>
    </w:p>
    <w:p>
      <w:pPr>
        <w:spacing w:line="500" w:lineRule="exact"/>
        <w:ind w:firstLine="560"/>
        <w:rPr>
          <w:rFonts w:ascii="Times New Roman" w:hAnsi="Times New Roman" w:eastAsia="黑体"/>
          <w:szCs w:val="21"/>
        </w:rPr>
      </w:pPr>
      <w:bookmarkStart w:id="7" w:name="_Toc423033980"/>
      <w:bookmarkStart w:id="8" w:name="_Toc467853975"/>
      <w:r>
        <w:rPr>
          <w:rFonts w:hint="eastAsia" w:ascii="Times New Roman" w:hAnsi="Times New Roman" w:eastAsia="黑体"/>
          <w:szCs w:val="21"/>
        </w:rPr>
        <w:t>2.2  本标准适用的专业</w:t>
      </w:r>
      <w:bookmarkEnd w:id="7"/>
      <w:bookmarkEnd w:id="8"/>
    </w:p>
    <w:p>
      <w:pPr>
        <w:spacing w:line="360" w:lineRule="auto"/>
        <w:ind w:firstLine="560"/>
        <w:rPr>
          <w:rFonts w:ascii="Times New Roman" w:hAnsi="Times New Roman"/>
          <w:szCs w:val="21"/>
        </w:rPr>
      </w:pPr>
      <w:r>
        <w:rPr>
          <w:rFonts w:hint="eastAsia" w:ascii="Times New Roman" w:hAnsi="Times New Roman"/>
          <w:szCs w:val="21"/>
        </w:rPr>
        <w:t>给排水科学与工程专业（081003）</w:t>
      </w:r>
    </w:p>
    <w:p>
      <w:pPr>
        <w:pStyle w:val="2"/>
        <w:spacing w:before="156" w:beforeLines="50" w:after="156" w:afterLines="50"/>
        <w:ind w:right="221" w:firstLine="480" w:firstLineChars="200"/>
        <w:rPr>
          <w:rFonts w:ascii="Times New Roman" w:hAnsi="Times New Roman" w:eastAsia="黑体"/>
          <w:b w:val="0"/>
          <w:sz w:val="24"/>
        </w:rPr>
      </w:pPr>
      <w:bookmarkStart w:id="9" w:name="_Toc467853976"/>
      <w:bookmarkStart w:id="10" w:name="_Toc423033981"/>
      <w:r>
        <w:rPr>
          <w:rFonts w:hint="eastAsia" w:ascii="Times New Roman" w:hAnsi="Times New Roman" w:eastAsia="黑体"/>
          <w:b w:val="0"/>
          <w:sz w:val="24"/>
        </w:rPr>
        <w:t>3  培养目标</w:t>
      </w:r>
      <w:bookmarkEnd w:id="9"/>
      <w:bookmarkEnd w:id="10"/>
    </w:p>
    <w:p>
      <w:pPr>
        <w:spacing w:line="500" w:lineRule="exact"/>
        <w:ind w:firstLine="560"/>
        <w:rPr>
          <w:rFonts w:ascii="Times New Roman" w:hAnsi="Times New Roman" w:eastAsia="黑体"/>
          <w:szCs w:val="21"/>
        </w:rPr>
      </w:pPr>
      <w:bookmarkStart w:id="11" w:name="_Toc467853977"/>
      <w:bookmarkStart w:id="12" w:name="_Toc423033982"/>
      <w:r>
        <w:rPr>
          <w:rFonts w:hint="eastAsia" w:ascii="Times New Roman" w:hAnsi="Times New Roman" w:eastAsia="黑体"/>
          <w:szCs w:val="21"/>
        </w:rPr>
        <w:t>3.1  专业培养目标</w:t>
      </w:r>
      <w:bookmarkEnd w:id="11"/>
      <w:bookmarkEnd w:id="12"/>
    </w:p>
    <w:p>
      <w:pPr>
        <w:spacing w:line="360" w:lineRule="auto"/>
        <w:ind w:firstLine="560"/>
        <w:rPr>
          <w:rFonts w:ascii="宋体" w:hAnsi="宋体"/>
          <w:szCs w:val="21"/>
        </w:rPr>
      </w:pPr>
      <w:r>
        <w:rPr>
          <w:rFonts w:hint="eastAsia" w:ascii="宋体" w:hAnsi="宋体"/>
          <w:szCs w:val="21"/>
        </w:rPr>
        <w:t>给排水科学与工程专业培养适应国家现代化建设需要，德智体美全面发展，具备较好的自然科学与人文科学基础，具备计算机和外语应用能力，掌握给排水科学与工程专业的理论和知识，获得工程师基本训练并具有创新精神的高级工程技术人才。毕业生应具有从事给排水科学与工程有关的工程规划、设计、施工、运营、管理等工作的能力，并具有初步的研究开发能力。</w:t>
      </w:r>
    </w:p>
    <w:p>
      <w:pPr>
        <w:spacing w:line="500" w:lineRule="exact"/>
        <w:ind w:firstLine="560"/>
        <w:rPr>
          <w:rFonts w:ascii="Times New Roman" w:hAnsi="Times New Roman" w:eastAsia="黑体"/>
          <w:szCs w:val="21"/>
        </w:rPr>
      </w:pPr>
      <w:bookmarkStart w:id="13" w:name="_Toc467853978"/>
      <w:bookmarkStart w:id="14" w:name="_Toc423033983"/>
      <w:r>
        <w:rPr>
          <w:rFonts w:hint="eastAsia" w:ascii="Times New Roman" w:hAnsi="Times New Roman" w:eastAsia="黑体"/>
          <w:szCs w:val="21"/>
        </w:rPr>
        <w:t>3.2  学校制订专业培养目标的要求</w:t>
      </w:r>
      <w:bookmarkEnd w:id="13"/>
      <w:bookmarkEnd w:id="14"/>
    </w:p>
    <w:p>
      <w:pPr>
        <w:spacing w:line="360" w:lineRule="auto"/>
        <w:ind w:firstLine="560"/>
        <w:rPr>
          <w:rFonts w:ascii="宋体" w:hAnsi="宋体"/>
          <w:szCs w:val="21"/>
        </w:rPr>
      </w:pPr>
      <w:r>
        <w:rPr>
          <w:rFonts w:hint="eastAsia" w:ascii="宋体" w:hAnsi="宋体"/>
          <w:szCs w:val="21"/>
        </w:rPr>
        <w:t>各高校应根据上述培养目标和自身办学定位，结合各自专业基础和学科特色，在对区域和行业特点以及学生未来发展需求进行充分调研和分析的基础上，以适应国家和社会发展对多样化人才培养需要为目标，细化人才培养目标的内涵，准确定位本专业的人才培养目标。</w:t>
      </w:r>
    </w:p>
    <w:p>
      <w:pPr>
        <w:spacing w:line="360" w:lineRule="auto"/>
        <w:ind w:firstLine="560"/>
        <w:rPr>
          <w:rFonts w:ascii="宋体" w:hAnsi="宋体"/>
          <w:szCs w:val="21"/>
        </w:rPr>
      </w:pPr>
      <w:r>
        <w:rPr>
          <w:rFonts w:hint="eastAsia" w:ascii="宋体" w:hAnsi="宋体"/>
          <w:szCs w:val="21"/>
        </w:rPr>
        <w:t>各高校还应根据科技及经济、社会持续发展的需要，对人才培养质量与培养目标的吻合度进行定期评估，建立适时调整专业发展定位和人才培养目标的有效机制。</w:t>
      </w:r>
    </w:p>
    <w:p>
      <w:pPr>
        <w:pStyle w:val="2"/>
        <w:spacing w:before="156" w:beforeLines="50" w:after="156" w:afterLines="50"/>
        <w:ind w:right="221" w:firstLine="480" w:firstLineChars="200"/>
        <w:rPr>
          <w:rFonts w:ascii="Times New Roman" w:hAnsi="Times New Roman" w:eastAsia="黑体"/>
          <w:b w:val="0"/>
          <w:sz w:val="24"/>
        </w:rPr>
      </w:pPr>
      <w:bookmarkStart w:id="15" w:name="_Toc423033984"/>
      <w:bookmarkStart w:id="16" w:name="_Toc467853979"/>
      <w:r>
        <w:rPr>
          <w:rFonts w:hint="eastAsia" w:ascii="Times New Roman" w:hAnsi="Times New Roman" w:eastAsia="黑体"/>
          <w:b w:val="0"/>
          <w:sz w:val="24"/>
        </w:rPr>
        <w:t>4  培养规格</w:t>
      </w:r>
      <w:bookmarkEnd w:id="15"/>
      <w:bookmarkEnd w:id="16"/>
    </w:p>
    <w:p>
      <w:pPr>
        <w:spacing w:line="500" w:lineRule="exact"/>
        <w:ind w:firstLine="560"/>
        <w:rPr>
          <w:rFonts w:ascii="Times New Roman" w:hAnsi="Times New Roman" w:eastAsia="黑体"/>
          <w:szCs w:val="21"/>
        </w:rPr>
      </w:pPr>
      <w:bookmarkStart w:id="17" w:name="_Toc467853980"/>
      <w:bookmarkStart w:id="18" w:name="_Toc423033985"/>
      <w:r>
        <w:rPr>
          <w:rFonts w:hint="eastAsia" w:ascii="Times New Roman" w:hAnsi="Times New Roman" w:eastAsia="黑体"/>
          <w:szCs w:val="21"/>
        </w:rPr>
        <w:t>4.1  学制</w:t>
      </w:r>
      <w:bookmarkEnd w:id="17"/>
      <w:bookmarkEnd w:id="18"/>
    </w:p>
    <w:p>
      <w:pPr>
        <w:spacing w:line="360" w:lineRule="auto"/>
        <w:ind w:firstLine="560"/>
        <w:rPr>
          <w:rFonts w:hint="eastAsia" w:ascii="Times New Roman" w:hAnsi="Times New Roman" w:eastAsia="宋体"/>
          <w:szCs w:val="21"/>
          <w:lang w:eastAsia="zh-CN"/>
        </w:rPr>
      </w:pPr>
      <w:r>
        <w:rPr>
          <w:rFonts w:hint="eastAsia" w:ascii="Times New Roman" w:hAnsi="Times New Roman"/>
          <w:szCs w:val="21"/>
        </w:rPr>
        <w:t>4年</w:t>
      </w:r>
      <w:r>
        <w:rPr>
          <w:rFonts w:hint="eastAsia" w:ascii="Times New Roman" w:hAnsi="Times New Roman"/>
          <w:szCs w:val="21"/>
          <w:lang w:eastAsia="zh-CN"/>
        </w:rPr>
        <w:t>。</w:t>
      </w:r>
    </w:p>
    <w:p>
      <w:pPr>
        <w:spacing w:line="500" w:lineRule="exact"/>
        <w:ind w:firstLine="560"/>
        <w:rPr>
          <w:rFonts w:ascii="Times New Roman" w:hAnsi="Times New Roman" w:eastAsia="黑体"/>
          <w:szCs w:val="21"/>
        </w:rPr>
      </w:pPr>
      <w:bookmarkStart w:id="19" w:name="_Toc467853981"/>
      <w:bookmarkStart w:id="20" w:name="_Toc423033986"/>
      <w:r>
        <w:rPr>
          <w:rFonts w:hint="eastAsia" w:ascii="Times New Roman" w:hAnsi="Times New Roman" w:eastAsia="黑体"/>
          <w:szCs w:val="21"/>
        </w:rPr>
        <w:t>4.2  授予学位</w:t>
      </w:r>
      <w:bookmarkEnd w:id="19"/>
      <w:bookmarkEnd w:id="20"/>
    </w:p>
    <w:p>
      <w:pPr>
        <w:spacing w:line="360" w:lineRule="auto"/>
        <w:ind w:firstLine="560"/>
        <w:rPr>
          <w:rFonts w:hint="eastAsia" w:ascii="Times New Roman" w:hAnsi="Times New Roman" w:eastAsia="宋体"/>
          <w:szCs w:val="21"/>
          <w:lang w:eastAsia="zh-CN"/>
        </w:rPr>
      </w:pPr>
      <w:r>
        <w:rPr>
          <w:rFonts w:hint="eastAsia" w:ascii="Times New Roman" w:hAnsi="Times New Roman"/>
          <w:szCs w:val="21"/>
        </w:rPr>
        <w:t>工学学士</w:t>
      </w:r>
      <w:r>
        <w:rPr>
          <w:rFonts w:hint="eastAsia" w:ascii="Times New Roman" w:hAnsi="Times New Roman"/>
          <w:szCs w:val="21"/>
          <w:lang w:eastAsia="zh-CN"/>
        </w:rPr>
        <w:t>。</w:t>
      </w:r>
      <w:bookmarkStart w:id="62" w:name="_GoBack"/>
      <w:bookmarkEnd w:id="62"/>
    </w:p>
    <w:p>
      <w:pPr>
        <w:spacing w:line="500" w:lineRule="exact"/>
        <w:ind w:firstLine="560"/>
        <w:rPr>
          <w:rFonts w:ascii="Times New Roman" w:hAnsi="Times New Roman" w:eastAsia="黑体"/>
          <w:szCs w:val="21"/>
        </w:rPr>
      </w:pPr>
      <w:bookmarkStart w:id="21" w:name="_Toc423033987"/>
      <w:bookmarkStart w:id="22" w:name="_Toc467853982"/>
      <w:r>
        <w:rPr>
          <w:rFonts w:hint="eastAsia" w:ascii="Times New Roman" w:hAnsi="Times New Roman" w:eastAsia="黑体"/>
          <w:szCs w:val="21"/>
        </w:rPr>
        <w:t>4.3  参考总学分</w:t>
      </w:r>
      <w:bookmarkEnd w:id="21"/>
      <w:bookmarkEnd w:id="22"/>
    </w:p>
    <w:p>
      <w:pPr>
        <w:spacing w:line="360" w:lineRule="auto"/>
        <w:ind w:firstLine="560"/>
        <w:rPr>
          <w:rFonts w:ascii="Times New Roman" w:hAnsi="Times New Roman"/>
          <w:szCs w:val="21"/>
        </w:rPr>
      </w:pPr>
      <w:r>
        <w:rPr>
          <w:rFonts w:hint="eastAsia" w:ascii="Times New Roman" w:hAnsi="Times New Roman"/>
          <w:szCs w:val="21"/>
        </w:rPr>
        <w:t>总学分140-180学分为宜，各校可根据具体情况确定。总学分中包括毕业设计（论文）约12-16学分。</w:t>
      </w:r>
    </w:p>
    <w:p>
      <w:pPr>
        <w:spacing w:line="500" w:lineRule="exact"/>
        <w:ind w:firstLine="560"/>
        <w:rPr>
          <w:rFonts w:ascii="Times New Roman" w:hAnsi="Times New Roman" w:eastAsia="黑体"/>
          <w:szCs w:val="21"/>
        </w:rPr>
      </w:pPr>
      <w:bookmarkStart w:id="23" w:name="_Toc467853983"/>
      <w:bookmarkStart w:id="24" w:name="_Toc423033988"/>
      <w:r>
        <w:rPr>
          <w:rFonts w:hint="eastAsia" w:ascii="Times New Roman" w:hAnsi="Times New Roman" w:eastAsia="黑体"/>
          <w:szCs w:val="21"/>
        </w:rPr>
        <w:t>4.4  人才培养基本要求</w:t>
      </w:r>
      <w:bookmarkEnd w:id="23"/>
      <w:bookmarkEnd w:id="24"/>
    </w:p>
    <w:p>
      <w:pPr>
        <w:spacing w:line="360" w:lineRule="auto"/>
        <w:ind w:firstLine="560"/>
        <w:rPr>
          <w:rFonts w:ascii="Times New Roman" w:hAnsi="Times New Roman"/>
          <w:szCs w:val="21"/>
        </w:rPr>
      </w:pPr>
      <w:r>
        <w:rPr>
          <w:rFonts w:hint="eastAsia" w:ascii="Times New Roman" w:hAnsi="Times New Roman"/>
          <w:szCs w:val="21"/>
        </w:rPr>
        <w:t>4.4.1  思想政治和德育方面</w:t>
      </w:r>
    </w:p>
    <w:p>
      <w:pPr>
        <w:spacing w:line="360" w:lineRule="auto"/>
        <w:ind w:firstLine="560"/>
        <w:rPr>
          <w:rFonts w:ascii="Times New Roman" w:hAnsi="Times New Roman"/>
          <w:szCs w:val="21"/>
        </w:rPr>
      </w:pPr>
      <w:r>
        <w:rPr>
          <w:rFonts w:hint="eastAsia" w:ascii="Times New Roman" w:hAnsi="Times New Roman"/>
          <w:szCs w:val="21"/>
        </w:rPr>
        <w:t>按照教育部统一要求执行。</w:t>
      </w:r>
    </w:p>
    <w:p>
      <w:pPr>
        <w:spacing w:line="360" w:lineRule="auto"/>
        <w:ind w:firstLine="560"/>
        <w:rPr>
          <w:rFonts w:ascii="Times New Roman" w:hAnsi="Times New Roman"/>
          <w:szCs w:val="21"/>
        </w:rPr>
      </w:pPr>
      <w:r>
        <w:rPr>
          <w:rFonts w:hint="eastAsia" w:ascii="Times New Roman" w:hAnsi="Times New Roman"/>
          <w:szCs w:val="21"/>
        </w:rPr>
        <w:t>4.4.2  业务方面</w:t>
      </w:r>
    </w:p>
    <w:p>
      <w:pPr>
        <w:spacing w:line="360" w:lineRule="auto"/>
        <w:ind w:firstLine="560"/>
        <w:rPr>
          <w:rFonts w:ascii="Times New Roman" w:hAnsi="Times New Roman"/>
          <w:szCs w:val="21"/>
        </w:rPr>
      </w:pPr>
      <w:r>
        <w:rPr>
          <w:rFonts w:hint="eastAsia" w:ascii="Times New Roman" w:hAnsi="Times New Roman"/>
          <w:szCs w:val="21"/>
        </w:rPr>
        <w:t>（1）掌握高等数学及工程数学的基本理论，掌握大学物理、大学物理实验的基本理论、实验技能及其应用，掌握无机化学、有机化学和物理化学的基本原理及其实验方法和实验技能，了解信息科学的基本知识和有关技术，了解现代科学技术发展的主要趋势和应用前景；并通过相关基础理论课程的学习，培养科学的思维方法，初步具有合理抽象、逻辑推理和分析综合的能力；</w:t>
      </w:r>
    </w:p>
    <w:p>
      <w:pPr>
        <w:spacing w:line="360" w:lineRule="auto"/>
        <w:ind w:firstLine="560"/>
        <w:rPr>
          <w:rFonts w:ascii="Times New Roman" w:hAnsi="Times New Roman"/>
          <w:szCs w:val="21"/>
        </w:rPr>
      </w:pPr>
      <w:r>
        <w:rPr>
          <w:rFonts w:hint="eastAsia" w:ascii="Times New Roman" w:hAnsi="Times New Roman"/>
          <w:szCs w:val="21"/>
        </w:rPr>
        <w:t>（2）掌握给排水科学与工程的基础理论和知识，包括：水力学、工程力学、水处理生物学、水分析化学、泵与泵站、水文学和水文地质学；掌握工程制图、工程测量的基本知识和技能；熟悉电工、电子学和自动控制的基本知识；掌握解决本专业工程技术问题的理论和方法，包括：水资源利用与保护、水质工程学、给水排水管网系统、建筑给水排水工程的基本原理与设计方法；熟悉给水排水工程结构、材料与设备的基础知识，熟悉工艺系统的控制原理，熟悉给水排水工程施工和运营管理的知识和方法；了解给水排水工程发展历史、相关学科的基本知识及其与本专业的关系；</w:t>
      </w:r>
    </w:p>
    <w:p>
      <w:pPr>
        <w:spacing w:line="360" w:lineRule="auto"/>
        <w:ind w:firstLine="560"/>
        <w:rPr>
          <w:rFonts w:ascii="Times New Roman" w:hAnsi="Times New Roman"/>
          <w:szCs w:val="21"/>
        </w:rPr>
      </w:pPr>
      <w:r>
        <w:rPr>
          <w:rFonts w:hint="eastAsia" w:ascii="Times New Roman" w:hAnsi="Times New Roman"/>
          <w:szCs w:val="21"/>
        </w:rPr>
        <w:t>（3）具有较熟练地应用所学专业知识和理论解决工程实际问题的能力，具有从事给排水系统的规划、设计、施工、运行、管理与维护的基本能力；</w:t>
      </w:r>
    </w:p>
    <w:p>
      <w:pPr>
        <w:spacing w:line="360" w:lineRule="auto"/>
        <w:ind w:firstLine="560"/>
        <w:rPr>
          <w:rFonts w:ascii="Times New Roman" w:hAnsi="Times New Roman"/>
          <w:szCs w:val="21"/>
        </w:rPr>
      </w:pPr>
      <w:r>
        <w:rPr>
          <w:rFonts w:hint="eastAsia" w:ascii="Times New Roman" w:hAnsi="Times New Roman"/>
          <w:szCs w:val="21"/>
        </w:rPr>
        <w:t>（4）了解工程规划、工程设计的相关程序和要求；了解本专业有关的法律、法规、标准和规范；工作过程中能够综合考虑经济、环境、法律、安全、健康、伦理等制约因素，正确认识工程对于客观世界和社会的影响；</w:t>
      </w:r>
    </w:p>
    <w:p>
      <w:pPr>
        <w:spacing w:line="360" w:lineRule="auto"/>
        <w:ind w:firstLine="560"/>
        <w:rPr>
          <w:rFonts w:ascii="Times New Roman" w:hAnsi="Times New Roman"/>
          <w:szCs w:val="21"/>
        </w:rPr>
      </w:pPr>
      <w:r>
        <w:rPr>
          <w:rFonts w:hint="eastAsia" w:ascii="Times New Roman" w:hAnsi="Times New Roman"/>
          <w:szCs w:val="21"/>
        </w:rPr>
        <w:t>（5）具有应用语言、文字、图形和计算机技术等进行工程表达和交流的能力；</w:t>
      </w:r>
    </w:p>
    <w:p>
      <w:pPr>
        <w:spacing w:line="360" w:lineRule="auto"/>
        <w:ind w:firstLine="560"/>
        <w:rPr>
          <w:rFonts w:ascii="Times New Roman" w:hAnsi="Times New Roman"/>
          <w:szCs w:val="21"/>
        </w:rPr>
      </w:pPr>
      <w:r>
        <w:rPr>
          <w:rFonts w:hint="eastAsia" w:ascii="Times New Roman" w:hAnsi="Times New Roman"/>
          <w:szCs w:val="21"/>
        </w:rPr>
        <w:t>（6）掌握基本的创新方法，具有追求创新的态度和意识；初步具有科学研究和应用技术开发的能力；</w:t>
      </w:r>
    </w:p>
    <w:p>
      <w:pPr>
        <w:spacing w:line="360" w:lineRule="auto"/>
        <w:ind w:firstLine="560"/>
        <w:rPr>
          <w:rFonts w:ascii="Times New Roman" w:hAnsi="Times New Roman"/>
          <w:szCs w:val="21"/>
        </w:rPr>
      </w:pPr>
      <w:r>
        <w:rPr>
          <w:rFonts w:hint="eastAsia" w:ascii="Times New Roman" w:hAnsi="Times New Roman"/>
          <w:szCs w:val="21"/>
        </w:rPr>
        <w:t>（7）具有文献检索、资料查询及运用计算机与信息技术获取和处理相关信息的基本能力；</w:t>
      </w:r>
    </w:p>
    <w:p>
      <w:pPr>
        <w:spacing w:line="360" w:lineRule="auto"/>
        <w:ind w:firstLine="560"/>
        <w:rPr>
          <w:rFonts w:ascii="Times New Roman" w:hAnsi="Times New Roman"/>
          <w:szCs w:val="21"/>
        </w:rPr>
      </w:pPr>
      <w:r>
        <w:rPr>
          <w:rFonts w:hint="eastAsia" w:ascii="Times New Roman" w:hAnsi="Times New Roman"/>
          <w:szCs w:val="21"/>
        </w:rPr>
        <w:t>（8）具有一定的组织管理能力、表达能力和人际交往能力以及在团队中发挥作用的能力；</w:t>
      </w:r>
    </w:p>
    <w:p>
      <w:pPr>
        <w:spacing w:line="360" w:lineRule="auto"/>
        <w:ind w:firstLine="560"/>
        <w:rPr>
          <w:rFonts w:ascii="Times New Roman" w:hAnsi="Times New Roman"/>
          <w:szCs w:val="21"/>
        </w:rPr>
      </w:pPr>
      <w:r>
        <w:rPr>
          <w:rFonts w:hint="eastAsia" w:ascii="Times New Roman" w:hAnsi="Times New Roman"/>
          <w:szCs w:val="21"/>
        </w:rPr>
        <w:t>（9）对终身学习有正确认识，具有不断学习和适应发展的能力；</w:t>
      </w:r>
    </w:p>
    <w:p>
      <w:pPr>
        <w:spacing w:line="360" w:lineRule="auto"/>
        <w:ind w:firstLine="560"/>
        <w:rPr>
          <w:rFonts w:ascii="Times New Roman" w:hAnsi="Times New Roman"/>
          <w:szCs w:val="21"/>
        </w:rPr>
      </w:pPr>
      <w:r>
        <w:rPr>
          <w:rFonts w:hint="eastAsia" w:ascii="Times New Roman" w:hAnsi="Times New Roman"/>
          <w:szCs w:val="21"/>
        </w:rPr>
        <w:t>（10）掌握1门外语，具有国际视野和跨文化交流、竞争与合作能力。</w:t>
      </w:r>
    </w:p>
    <w:p>
      <w:pPr>
        <w:spacing w:line="360" w:lineRule="auto"/>
        <w:ind w:firstLine="560"/>
        <w:rPr>
          <w:rFonts w:ascii="Times New Roman" w:hAnsi="Times New Roman"/>
          <w:szCs w:val="21"/>
        </w:rPr>
      </w:pPr>
      <w:r>
        <w:rPr>
          <w:rFonts w:hint="eastAsia" w:ascii="Times New Roman" w:hAnsi="Times New Roman"/>
          <w:szCs w:val="21"/>
        </w:rPr>
        <w:t>4.4.3  体育方面</w:t>
      </w:r>
    </w:p>
    <w:p>
      <w:pPr>
        <w:spacing w:line="360" w:lineRule="auto"/>
        <w:ind w:firstLine="560"/>
        <w:rPr>
          <w:rFonts w:ascii="Times New Roman" w:hAnsi="Times New Roman"/>
          <w:szCs w:val="21"/>
        </w:rPr>
      </w:pPr>
      <w:r>
        <w:rPr>
          <w:rFonts w:hint="eastAsia" w:ascii="Times New Roman" w:hAnsi="Times New Roman"/>
          <w:szCs w:val="21"/>
        </w:rPr>
        <w:t>掌握体育运动的一般知识和基本方法，形成良好的体育锻炼和卫生习惯，达到国家规定的大学生体育锻炼合格标准。</w:t>
      </w:r>
    </w:p>
    <w:p>
      <w:pPr>
        <w:pStyle w:val="2"/>
        <w:spacing w:before="156" w:beforeLines="50" w:after="156" w:afterLines="50"/>
        <w:ind w:right="221" w:firstLine="480" w:firstLineChars="200"/>
        <w:rPr>
          <w:rFonts w:ascii="Times New Roman" w:hAnsi="Times New Roman" w:eastAsia="黑体"/>
          <w:b w:val="0"/>
          <w:sz w:val="24"/>
        </w:rPr>
      </w:pPr>
      <w:bookmarkStart w:id="25" w:name="_Toc423033989"/>
      <w:bookmarkStart w:id="26" w:name="_Toc467853984"/>
      <w:r>
        <w:rPr>
          <w:rFonts w:hint="eastAsia" w:ascii="Times New Roman" w:hAnsi="Times New Roman" w:eastAsia="黑体"/>
          <w:b w:val="0"/>
          <w:sz w:val="24"/>
        </w:rPr>
        <w:t>5  师资队伍</w:t>
      </w:r>
      <w:bookmarkEnd w:id="25"/>
      <w:bookmarkEnd w:id="26"/>
    </w:p>
    <w:p>
      <w:pPr>
        <w:spacing w:line="500" w:lineRule="exact"/>
        <w:ind w:firstLine="560"/>
        <w:rPr>
          <w:rFonts w:ascii="Times New Roman" w:hAnsi="Times New Roman" w:eastAsia="黑体"/>
          <w:szCs w:val="21"/>
        </w:rPr>
      </w:pPr>
      <w:bookmarkStart w:id="27" w:name="_Toc467853985"/>
      <w:bookmarkStart w:id="28" w:name="_Toc423033990"/>
      <w:r>
        <w:rPr>
          <w:rFonts w:hint="eastAsia" w:ascii="Times New Roman" w:hAnsi="Times New Roman" w:eastAsia="黑体"/>
          <w:szCs w:val="21"/>
        </w:rPr>
        <w:t>5.1  师资队伍数量和结构要求（新开办专业准入要求）</w:t>
      </w:r>
      <w:bookmarkEnd w:id="27"/>
      <w:bookmarkEnd w:id="28"/>
    </w:p>
    <w:p>
      <w:pPr>
        <w:spacing w:line="360" w:lineRule="auto"/>
        <w:ind w:firstLine="560"/>
        <w:rPr>
          <w:rFonts w:ascii="Times New Roman" w:hAnsi="Times New Roman"/>
          <w:szCs w:val="21"/>
        </w:rPr>
      </w:pPr>
      <w:r>
        <w:rPr>
          <w:rFonts w:hint="eastAsia" w:ascii="Times New Roman" w:hAnsi="Times New Roman"/>
          <w:szCs w:val="21"/>
        </w:rPr>
        <w:t>专任教师数量和结构满足本专业教学需要。应具有知识结构合理的专业师资队伍，有专业理论基础、专业技术基础、水质控制、水的采集和输配、水系统设备仪表与控制、水工程建设与运营等方面的专任教师；本校教师能独立承担全部专业基础课和专业课。</w:t>
      </w:r>
    </w:p>
    <w:p>
      <w:pPr>
        <w:spacing w:line="360" w:lineRule="auto"/>
        <w:ind w:firstLine="560"/>
        <w:rPr>
          <w:rFonts w:ascii="Times New Roman" w:hAnsi="Times New Roman"/>
          <w:szCs w:val="21"/>
        </w:rPr>
      </w:pPr>
      <w:r>
        <w:rPr>
          <w:rFonts w:hint="eastAsia" w:ascii="Times New Roman" w:hAnsi="Times New Roman"/>
          <w:szCs w:val="21"/>
        </w:rPr>
        <w:t>专任教师人数应10人以上。当每年招生人数超过70人时，每增加10名学生，至少增加1名专任教师。</w:t>
      </w:r>
    </w:p>
    <w:p>
      <w:pPr>
        <w:spacing w:line="360" w:lineRule="auto"/>
        <w:ind w:firstLine="560"/>
        <w:rPr>
          <w:rFonts w:ascii="Times New Roman" w:hAnsi="Times New Roman"/>
          <w:szCs w:val="21"/>
        </w:rPr>
      </w:pPr>
      <w:r>
        <w:rPr>
          <w:rFonts w:hint="eastAsia" w:ascii="Times New Roman" w:hAnsi="Times New Roman"/>
          <w:szCs w:val="21"/>
        </w:rPr>
        <w:t>专任教师中具有硕士学位、博士学位的比例不低于50%。专任教师中具有高级职称的比例不低于30％。</w:t>
      </w:r>
    </w:p>
    <w:p>
      <w:pPr>
        <w:spacing w:line="360" w:lineRule="auto"/>
        <w:ind w:firstLine="560"/>
        <w:rPr>
          <w:rFonts w:ascii="Times New Roman" w:hAnsi="Times New Roman"/>
          <w:szCs w:val="21"/>
        </w:rPr>
      </w:pPr>
      <w:r>
        <w:rPr>
          <w:rFonts w:hint="eastAsia" w:ascii="Times New Roman" w:hAnsi="Times New Roman"/>
          <w:szCs w:val="21"/>
        </w:rPr>
        <w:t>每位教师指导的毕业设计（论文）学生人数不宜超过10人。</w:t>
      </w:r>
    </w:p>
    <w:p>
      <w:pPr>
        <w:spacing w:line="500" w:lineRule="exact"/>
        <w:ind w:firstLine="560"/>
        <w:rPr>
          <w:rFonts w:ascii="Times New Roman" w:hAnsi="Times New Roman" w:eastAsia="黑体"/>
          <w:szCs w:val="21"/>
        </w:rPr>
      </w:pPr>
      <w:bookmarkStart w:id="29" w:name="_Toc423033991"/>
      <w:bookmarkStart w:id="30" w:name="_Toc467853986"/>
      <w:r>
        <w:rPr>
          <w:rFonts w:hint="eastAsia" w:ascii="Times New Roman" w:hAnsi="Times New Roman" w:eastAsia="黑体"/>
          <w:szCs w:val="21"/>
        </w:rPr>
        <w:t>5.2  教师背景和水平要求</w:t>
      </w:r>
      <w:bookmarkEnd w:id="29"/>
      <w:bookmarkEnd w:id="30"/>
    </w:p>
    <w:p>
      <w:pPr>
        <w:spacing w:line="360" w:lineRule="auto"/>
        <w:ind w:firstLine="560"/>
        <w:rPr>
          <w:rFonts w:ascii="Times New Roman" w:hAnsi="Times New Roman"/>
          <w:szCs w:val="21"/>
        </w:rPr>
      </w:pPr>
      <w:r>
        <w:rPr>
          <w:rFonts w:hint="eastAsia" w:ascii="Times New Roman" w:hAnsi="Times New Roman"/>
          <w:szCs w:val="21"/>
        </w:rPr>
        <w:t>专业课教师原则上应是给排水科学与工程专业或相关专业毕业的研究生。</w:t>
      </w:r>
    </w:p>
    <w:p>
      <w:pPr>
        <w:spacing w:line="360" w:lineRule="auto"/>
        <w:ind w:firstLine="560"/>
        <w:rPr>
          <w:rFonts w:ascii="Times New Roman" w:hAnsi="Times New Roman"/>
          <w:szCs w:val="21"/>
        </w:rPr>
      </w:pPr>
      <w:r>
        <w:rPr>
          <w:rFonts w:hint="eastAsia" w:ascii="Times New Roman" w:hAnsi="Times New Roman"/>
          <w:szCs w:val="21"/>
        </w:rPr>
        <w:t>专业课教师应有一定的工程实践经验。</w:t>
      </w:r>
    </w:p>
    <w:p>
      <w:pPr>
        <w:spacing w:line="500" w:lineRule="exact"/>
        <w:ind w:firstLine="560"/>
        <w:rPr>
          <w:rFonts w:ascii="Times New Roman" w:hAnsi="Times New Roman" w:eastAsia="黑体"/>
          <w:szCs w:val="21"/>
        </w:rPr>
      </w:pPr>
      <w:bookmarkStart w:id="31" w:name="_Toc423033992"/>
      <w:bookmarkStart w:id="32" w:name="_Toc467853987"/>
      <w:r>
        <w:rPr>
          <w:rFonts w:hint="eastAsia" w:ascii="Times New Roman" w:hAnsi="Times New Roman" w:eastAsia="黑体"/>
          <w:szCs w:val="21"/>
        </w:rPr>
        <w:t>5.3  教师发展环境</w:t>
      </w:r>
      <w:bookmarkEnd w:id="31"/>
      <w:bookmarkEnd w:id="32"/>
    </w:p>
    <w:p>
      <w:pPr>
        <w:spacing w:line="360" w:lineRule="auto"/>
        <w:ind w:firstLine="560"/>
        <w:rPr>
          <w:rFonts w:ascii="Times New Roman" w:hAnsi="Times New Roman"/>
          <w:szCs w:val="21"/>
        </w:rPr>
      </w:pPr>
      <w:r>
        <w:rPr>
          <w:rFonts w:hint="eastAsia" w:ascii="Times New Roman" w:hAnsi="Times New Roman"/>
          <w:szCs w:val="21"/>
        </w:rPr>
        <w:t>设有专业教学机构。为教师提供良好的工作环境和条件。有合理可行的师资队伍建设规划，为教师进修、从事学术交流活动提供支持，促进教师业务水平的提高，包括对青年教师的指导和培养。</w:t>
      </w:r>
    </w:p>
    <w:p>
      <w:pPr>
        <w:spacing w:line="360" w:lineRule="auto"/>
        <w:ind w:firstLine="560"/>
        <w:rPr>
          <w:rFonts w:ascii="Times New Roman" w:hAnsi="Times New Roman"/>
          <w:szCs w:val="21"/>
        </w:rPr>
      </w:pPr>
      <w:r>
        <w:rPr>
          <w:rFonts w:hint="eastAsia" w:ascii="Times New Roman" w:hAnsi="Times New Roman"/>
          <w:szCs w:val="21"/>
        </w:rPr>
        <w:t>拥有良好的相应学科基础，为教师从事科学研究与工程实践提供基本的条件、环境和氛围。鼓励和支持教师开展教学研究与改革、学术研究与交流、工程设计与开发、社会服务等。使教师明确其在教学质量提升过程中的责任，不断改进工作，满足专业教育不断发展的要求。</w:t>
      </w:r>
    </w:p>
    <w:p>
      <w:pPr>
        <w:pStyle w:val="2"/>
        <w:spacing w:before="156" w:beforeLines="50" w:after="156" w:afterLines="50"/>
        <w:ind w:right="221" w:firstLine="480" w:firstLineChars="200"/>
        <w:rPr>
          <w:rFonts w:ascii="Times New Roman" w:hAnsi="Times New Roman" w:eastAsia="黑体"/>
          <w:b w:val="0"/>
          <w:sz w:val="24"/>
        </w:rPr>
      </w:pPr>
      <w:bookmarkStart w:id="33" w:name="_Toc423033993"/>
      <w:bookmarkStart w:id="34" w:name="_Toc467853988"/>
      <w:r>
        <w:rPr>
          <w:rFonts w:hint="eastAsia" w:ascii="Times New Roman" w:hAnsi="Times New Roman" w:eastAsia="黑体"/>
          <w:b w:val="0"/>
          <w:sz w:val="24"/>
        </w:rPr>
        <w:t>6  教学条件</w:t>
      </w:r>
      <w:bookmarkEnd w:id="33"/>
      <w:bookmarkEnd w:id="34"/>
    </w:p>
    <w:p>
      <w:pPr>
        <w:spacing w:line="500" w:lineRule="exact"/>
        <w:ind w:firstLine="560"/>
        <w:rPr>
          <w:rFonts w:ascii="Times New Roman" w:hAnsi="Times New Roman" w:eastAsia="黑体"/>
          <w:szCs w:val="21"/>
        </w:rPr>
      </w:pPr>
      <w:bookmarkStart w:id="35" w:name="_Toc423033994"/>
      <w:bookmarkStart w:id="36" w:name="_Toc467853989"/>
      <w:r>
        <w:rPr>
          <w:rFonts w:hint="eastAsia" w:ascii="Times New Roman" w:hAnsi="Times New Roman" w:eastAsia="黑体"/>
          <w:szCs w:val="21"/>
        </w:rPr>
        <w:t>6.1  教学设施要求（新开办专业准入要求）</w:t>
      </w:r>
      <w:bookmarkEnd w:id="35"/>
      <w:bookmarkEnd w:id="36"/>
    </w:p>
    <w:p>
      <w:pPr>
        <w:spacing w:line="360" w:lineRule="auto"/>
        <w:ind w:firstLine="560"/>
        <w:rPr>
          <w:rFonts w:ascii="Times New Roman" w:hAnsi="Times New Roman"/>
          <w:szCs w:val="21"/>
        </w:rPr>
      </w:pPr>
      <w:r>
        <w:rPr>
          <w:rFonts w:hint="eastAsia" w:ascii="Times New Roman" w:hAnsi="Times New Roman"/>
          <w:szCs w:val="21"/>
        </w:rPr>
        <w:t>6.1.1  实验室</w:t>
      </w:r>
    </w:p>
    <w:p>
      <w:pPr>
        <w:spacing w:line="360" w:lineRule="auto"/>
        <w:ind w:firstLine="560"/>
        <w:rPr>
          <w:rFonts w:ascii="Times New Roman" w:hAnsi="Times New Roman"/>
          <w:szCs w:val="21"/>
        </w:rPr>
      </w:pPr>
      <w:r>
        <w:rPr>
          <w:rFonts w:hint="eastAsia" w:ascii="Times New Roman" w:hAnsi="Times New Roman"/>
          <w:szCs w:val="21"/>
        </w:rPr>
        <w:t>（1）具有水力学实验室、微生物实验室、水分析化学与物理化学实验室、专业实验室，实验设备完好、充足，在数量和功能上满足教学需要，生均实验教学仪器设备值不低于5000元。</w:t>
      </w:r>
    </w:p>
    <w:p>
      <w:pPr>
        <w:spacing w:line="360" w:lineRule="auto"/>
        <w:ind w:firstLine="560"/>
        <w:rPr>
          <w:rFonts w:ascii="Times New Roman" w:hAnsi="Times New Roman"/>
          <w:szCs w:val="21"/>
        </w:rPr>
      </w:pPr>
      <w:r>
        <w:rPr>
          <w:rFonts w:hint="eastAsia" w:ascii="Times New Roman" w:hAnsi="Times New Roman"/>
          <w:szCs w:val="21"/>
        </w:rPr>
        <w:t>（2）有良好的设备管理、维护和更新机制，近5年年均更新仪器设备值不低于设备总值的5%，现有仪器设备完好率不低于95％，满足实验教学需求。</w:t>
      </w:r>
    </w:p>
    <w:p>
      <w:pPr>
        <w:spacing w:line="360" w:lineRule="auto"/>
        <w:ind w:firstLine="560"/>
        <w:rPr>
          <w:rFonts w:ascii="Times New Roman" w:hAnsi="Times New Roman"/>
          <w:szCs w:val="21"/>
        </w:rPr>
      </w:pPr>
      <w:r>
        <w:rPr>
          <w:rFonts w:hint="eastAsia" w:ascii="Times New Roman" w:hAnsi="Times New Roman"/>
          <w:szCs w:val="21"/>
        </w:rPr>
        <w:t>（3）实验室设备拥有率应满足操作性实验每组不多于5人、演示性实验每组不多于20人的要求。</w:t>
      </w:r>
    </w:p>
    <w:p>
      <w:pPr>
        <w:spacing w:line="360" w:lineRule="auto"/>
        <w:ind w:firstLine="560"/>
        <w:rPr>
          <w:rFonts w:ascii="Times New Roman" w:hAnsi="Times New Roman"/>
          <w:szCs w:val="21"/>
        </w:rPr>
      </w:pPr>
      <w:r>
        <w:rPr>
          <w:rFonts w:hint="eastAsia" w:ascii="Times New Roman" w:hAnsi="Times New Roman"/>
          <w:szCs w:val="21"/>
        </w:rPr>
        <w:t>（4）实验室应提供开放服务，满足学生课内外学习要求，提高设备利用率。</w:t>
      </w:r>
    </w:p>
    <w:p>
      <w:pPr>
        <w:spacing w:line="360" w:lineRule="auto"/>
        <w:ind w:firstLine="560"/>
        <w:rPr>
          <w:rFonts w:ascii="Times New Roman" w:hAnsi="Times New Roman"/>
          <w:szCs w:val="21"/>
        </w:rPr>
      </w:pPr>
      <w:r>
        <w:rPr>
          <w:rFonts w:hint="eastAsia" w:ascii="Times New Roman" w:hAnsi="Times New Roman"/>
          <w:szCs w:val="21"/>
        </w:rPr>
        <w:t>（5）实验教学过程管理规范，实验教学计划、教学大纲、实验指导书等资料齐全。实验室建设有长远建设规划和近期工作计划。既要注重专业基础实验，又要注重新方向、新技术的发展，还要结合本专业特长和地方经济发展需要，建设专业实验室。</w:t>
      </w:r>
    </w:p>
    <w:p>
      <w:pPr>
        <w:spacing w:line="360" w:lineRule="auto"/>
        <w:ind w:firstLine="560"/>
        <w:rPr>
          <w:rFonts w:ascii="Times New Roman" w:hAnsi="Times New Roman"/>
          <w:szCs w:val="21"/>
        </w:rPr>
      </w:pPr>
      <w:r>
        <w:rPr>
          <w:rFonts w:hint="eastAsia" w:ascii="Times New Roman" w:hAnsi="Times New Roman"/>
          <w:szCs w:val="21"/>
        </w:rPr>
        <w:t>（6）实验技术人员数量充足，能够熟练管理、维护实验设备，保证实验环境有效利用、学生实验顺利进行。</w:t>
      </w:r>
    </w:p>
    <w:p>
      <w:pPr>
        <w:spacing w:line="360" w:lineRule="auto"/>
        <w:ind w:firstLine="560"/>
        <w:rPr>
          <w:rFonts w:ascii="Times New Roman" w:hAnsi="Times New Roman"/>
          <w:szCs w:val="21"/>
        </w:rPr>
      </w:pPr>
      <w:r>
        <w:rPr>
          <w:rFonts w:hint="eastAsia" w:ascii="Times New Roman" w:hAnsi="Times New Roman"/>
          <w:szCs w:val="21"/>
        </w:rPr>
        <w:t>6.1.2  实践基地</w:t>
      </w:r>
    </w:p>
    <w:p>
      <w:pPr>
        <w:spacing w:line="360" w:lineRule="auto"/>
        <w:ind w:firstLine="560"/>
        <w:rPr>
          <w:rFonts w:ascii="Times New Roman" w:hAnsi="Times New Roman"/>
          <w:szCs w:val="21"/>
        </w:rPr>
      </w:pPr>
      <w:r>
        <w:rPr>
          <w:rFonts w:hint="eastAsia" w:ascii="Times New Roman" w:hAnsi="Times New Roman"/>
          <w:szCs w:val="21"/>
        </w:rPr>
        <w:t>应设有3个以上相对稳定的校外实习基地，包括给水处理厂、污水处理厂等，满足本标准所列实习教学环节的基本要求；有健全的实习基地管理制度。</w:t>
      </w:r>
    </w:p>
    <w:p>
      <w:pPr>
        <w:spacing w:line="360" w:lineRule="auto"/>
        <w:ind w:firstLine="560"/>
        <w:rPr>
          <w:rFonts w:ascii="Times New Roman" w:hAnsi="Times New Roman"/>
          <w:szCs w:val="21"/>
        </w:rPr>
      </w:pPr>
      <w:r>
        <w:rPr>
          <w:rFonts w:hint="eastAsia" w:ascii="Times New Roman" w:hAnsi="Times New Roman"/>
          <w:szCs w:val="21"/>
        </w:rPr>
        <w:t>有一定数量的专业技术人员担任校外实习指导教师。</w:t>
      </w:r>
    </w:p>
    <w:p>
      <w:pPr>
        <w:spacing w:line="500" w:lineRule="exact"/>
        <w:ind w:firstLine="560"/>
        <w:rPr>
          <w:rFonts w:ascii="Times New Roman" w:hAnsi="Times New Roman" w:eastAsia="黑体"/>
          <w:szCs w:val="21"/>
        </w:rPr>
      </w:pPr>
      <w:bookmarkStart w:id="37" w:name="_Toc467853990"/>
      <w:bookmarkStart w:id="38" w:name="_Toc423033995"/>
      <w:r>
        <w:rPr>
          <w:rFonts w:hint="eastAsia" w:ascii="Times New Roman" w:hAnsi="Times New Roman" w:eastAsia="黑体"/>
          <w:szCs w:val="21"/>
        </w:rPr>
        <w:t>6.2  信息资源要求（新开办专业准入要求）</w:t>
      </w:r>
      <w:bookmarkEnd w:id="37"/>
      <w:bookmarkEnd w:id="38"/>
    </w:p>
    <w:p>
      <w:pPr>
        <w:spacing w:line="360" w:lineRule="auto"/>
        <w:ind w:firstLine="560"/>
        <w:rPr>
          <w:rFonts w:ascii="Times New Roman" w:hAnsi="Times New Roman"/>
          <w:szCs w:val="21"/>
        </w:rPr>
      </w:pPr>
      <w:r>
        <w:rPr>
          <w:rFonts w:hint="eastAsia" w:ascii="Times New Roman" w:hAnsi="Times New Roman"/>
          <w:szCs w:val="21"/>
        </w:rPr>
        <w:t>6.2.1  教材及辅助学习资源</w:t>
      </w:r>
    </w:p>
    <w:p>
      <w:pPr>
        <w:spacing w:line="360" w:lineRule="auto"/>
        <w:ind w:firstLine="560"/>
        <w:rPr>
          <w:rFonts w:ascii="Times New Roman" w:hAnsi="Times New Roman"/>
          <w:szCs w:val="21"/>
        </w:rPr>
      </w:pPr>
      <w:r>
        <w:rPr>
          <w:rFonts w:hint="eastAsia" w:ascii="Times New Roman" w:hAnsi="Times New Roman"/>
          <w:szCs w:val="21"/>
        </w:rPr>
        <w:t>教材选用应符合本专业培养目标和基本规格的要求，优先选用由专业教学指导委员会组织编写的国家级、省部级规划教材和专业教学指导委员会推荐教材，适当应用多媒体资源和辅助学习软件。</w:t>
      </w:r>
    </w:p>
    <w:p>
      <w:pPr>
        <w:spacing w:line="360" w:lineRule="auto"/>
        <w:ind w:firstLine="560"/>
        <w:rPr>
          <w:rFonts w:ascii="Times New Roman" w:hAnsi="Times New Roman"/>
          <w:szCs w:val="21"/>
        </w:rPr>
      </w:pPr>
      <w:r>
        <w:rPr>
          <w:rFonts w:hint="eastAsia" w:ascii="Times New Roman" w:hAnsi="Times New Roman"/>
          <w:szCs w:val="21"/>
        </w:rPr>
        <w:t>6.2.2  图书信息资源</w:t>
      </w:r>
    </w:p>
    <w:p>
      <w:pPr>
        <w:spacing w:line="360" w:lineRule="auto"/>
        <w:ind w:firstLine="560"/>
        <w:rPr>
          <w:rFonts w:ascii="Times New Roman" w:hAnsi="Times New Roman"/>
          <w:szCs w:val="21"/>
        </w:rPr>
      </w:pPr>
      <w:r>
        <w:rPr>
          <w:rFonts w:hint="eastAsia" w:ascii="Times New Roman" w:hAnsi="Times New Roman"/>
          <w:szCs w:val="21"/>
        </w:rPr>
        <w:t>（1）本专业相关书籍5000册以上，专业期刊50种以上（包括电子期刊），有一定数量的外文专业期刊；</w:t>
      </w:r>
    </w:p>
    <w:p>
      <w:pPr>
        <w:spacing w:line="360" w:lineRule="auto"/>
        <w:ind w:firstLine="560"/>
        <w:rPr>
          <w:rFonts w:ascii="Times New Roman" w:hAnsi="Times New Roman"/>
          <w:szCs w:val="21"/>
        </w:rPr>
      </w:pPr>
      <w:r>
        <w:rPr>
          <w:rFonts w:hint="eastAsia" w:ascii="Times New Roman" w:hAnsi="Times New Roman"/>
          <w:szCs w:val="21"/>
        </w:rPr>
        <w:t>（2）本专业有关的主要现行法律法规、标准、规范和设计手册等文件资料；</w:t>
      </w:r>
    </w:p>
    <w:p>
      <w:pPr>
        <w:spacing w:line="360" w:lineRule="auto"/>
        <w:ind w:firstLine="560"/>
        <w:rPr>
          <w:rFonts w:ascii="Times New Roman" w:hAnsi="Times New Roman"/>
          <w:szCs w:val="21"/>
        </w:rPr>
      </w:pPr>
      <w:r>
        <w:rPr>
          <w:rFonts w:hint="eastAsia" w:ascii="Times New Roman" w:hAnsi="Times New Roman"/>
          <w:szCs w:val="21"/>
        </w:rPr>
        <w:t>（3）反映实际工程特点的工程设计图纸、相关资料和文件；</w:t>
      </w:r>
    </w:p>
    <w:p>
      <w:pPr>
        <w:spacing w:line="360" w:lineRule="auto"/>
        <w:ind w:firstLine="560"/>
        <w:rPr>
          <w:rFonts w:ascii="Times New Roman" w:hAnsi="Times New Roman"/>
          <w:szCs w:val="21"/>
        </w:rPr>
      </w:pPr>
      <w:r>
        <w:rPr>
          <w:rFonts w:hint="eastAsia" w:ascii="Times New Roman" w:hAnsi="Times New Roman"/>
          <w:szCs w:val="21"/>
        </w:rPr>
        <w:t>（4）建设专业基础课、专业必修课课程网站，提供必要的网络教学资源；</w:t>
      </w:r>
    </w:p>
    <w:p>
      <w:pPr>
        <w:spacing w:line="360" w:lineRule="auto"/>
        <w:ind w:firstLine="560"/>
        <w:rPr>
          <w:rFonts w:ascii="Times New Roman" w:hAnsi="Times New Roman"/>
          <w:szCs w:val="21"/>
        </w:rPr>
      </w:pPr>
      <w:r>
        <w:rPr>
          <w:rFonts w:hint="eastAsia" w:ascii="Times New Roman" w:hAnsi="Times New Roman"/>
          <w:szCs w:val="21"/>
        </w:rPr>
        <w:t>（5）保证一定的图书资料更新比例，专业生均年图书进书量不少于2册。在校本科生数超过300人，当年进书量超过600册即可。电子图书每种按1册计算，电子期刊每期按1册计算。</w:t>
      </w:r>
    </w:p>
    <w:p>
      <w:pPr>
        <w:spacing w:line="500" w:lineRule="exact"/>
        <w:ind w:firstLine="560"/>
        <w:rPr>
          <w:rFonts w:ascii="Times New Roman" w:hAnsi="Times New Roman" w:eastAsia="黑体"/>
          <w:szCs w:val="21"/>
        </w:rPr>
      </w:pPr>
      <w:bookmarkStart w:id="39" w:name="_Toc423033996"/>
      <w:bookmarkStart w:id="40" w:name="_Toc467853991"/>
      <w:r>
        <w:rPr>
          <w:rFonts w:hint="eastAsia" w:ascii="Times New Roman" w:hAnsi="Times New Roman" w:eastAsia="黑体"/>
          <w:szCs w:val="21"/>
        </w:rPr>
        <w:t>6.3  教学经费要求</w:t>
      </w:r>
      <w:bookmarkEnd w:id="39"/>
      <w:bookmarkEnd w:id="40"/>
    </w:p>
    <w:p>
      <w:pPr>
        <w:spacing w:line="360" w:lineRule="auto"/>
        <w:ind w:firstLine="560"/>
        <w:rPr>
          <w:rFonts w:ascii="Times New Roman" w:hAnsi="Times New Roman"/>
          <w:szCs w:val="21"/>
        </w:rPr>
      </w:pPr>
      <w:r>
        <w:rPr>
          <w:rFonts w:hint="eastAsia" w:ascii="Times New Roman" w:hAnsi="Times New Roman"/>
          <w:szCs w:val="21"/>
        </w:rPr>
        <w:t>教学经费投入较好地满足人才培养需要，专业生均年教学日常运行支出不低于1200元。</w:t>
      </w:r>
    </w:p>
    <w:p>
      <w:pPr>
        <w:spacing w:line="360" w:lineRule="auto"/>
        <w:ind w:firstLine="560"/>
        <w:rPr>
          <w:rFonts w:ascii="Times New Roman" w:hAnsi="Times New Roman"/>
          <w:szCs w:val="21"/>
        </w:rPr>
      </w:pPr>
      <w:r>
        <w:rPr>
          <w:rFonts w:hint="eastAsia" w:ascii="Times New Roman" w:hAnsi="Times New Roman"/>
          <w:szCs w:val="21"/>
        </w:rPr>
        <w:t>新建专业，应有一定数额的新建专业建设经费。</w:t>
      </w:r>
    </w:p>
    <w:p>
      <w:pPr>
        <w:pStyle w:val="2"/>
        <w:spacing w:before="156" w:beforeLines="50" w:after="156" w:afterLines="50"/>
        <w:ind w:right="221" w:firstLine="480" w:firstLineChars="200"/>
        <w:rPr>
          <w:rFonts w:ascii="Times New Roman" w:hAnsi="Times New Roman" w:eastAsia="黑体"/>
          <w:b w:val="0"/>
          <w:sz w:val="24"/>
        </w:rPr>
      </w:pPr>
      <w:bookmarkStart w:id="41" w:name="_Toc467853992"/>
      <w:bookmarkStart w:id="42" w:name="_Toc423033997"/>
      <w:r>
        <w:rPr>
          <w:rFonts w:hint="eastAsia" w:ascii="Times New Roman" w:hAnsi="Times New Roman" w:eastAsia="黑体"/>
          <w:b w:val="0"/>
          <w:sz w:val="24"/>
        </w:rPr>
        <w:t>7  质量保障体系</w:t>
      </w:r>
      <w:bookmarkEnd w:id="41"/>
      <w:bookmarkEnd w:id="42"/>
    </w:p>
    <w:p>
      <w:pPr>
        <w:spacing w:line="500" w:lineRule="exact"/>
        <w:ind w:firstLine="560"/>
        <w:rPr>
          <w:rFonts w:ascii="Times New Roman" w:hAnsi="Times New Roman" w:eastAsia="黑体"/>
          <w:szCs w:val="21"/>
        </w:rPr>
      </w:pPr>
      <w:bookmarkStart w:id="43" w:name="_Toc423033998"/>
      <w:bookmarkStart w:id="44" w:name="_Toc467853993"/>
      <w:r>
        <w:rPr>
          <w:rFonts w:hint="eastAsia" w:ascii="Times New Roman" w:hAnsi="Times New Roman" w:eastAsia="黑体"/>
          <w:szCs w:val="21"/>
        </w:rPr>
        <w:t>7.1  教学过程质量监控机制要求</w:t>
      </w:r>
      <w:bookmarkEnd w:id="43"/>
      <w:bookmarkEnd w:id="44"/>
    </w:p>
    <w:p>
      <w:pPr>
        <w:spacing w:line="360" w:lineRule="auto"/>
        <w:ind w:firstLine="560"/>
        <w:rPr>
          <w:rFonts w:ascii="Times New Roman" w:hAnsi="Times New Roman"/>
          <w:szCs w:val="21"/>
        </w:rPr>
      </w:pPr>
      <w:r>
        <w:rPr>
          <w:rFonts w:hint="eastAsia" w:ascii="Times New Roman" w:hAnsi="Times New Roman"/>
          <w:szCs w:val="21"/>
        </w:rPr>
        <w:t>各高校应对主要教学环节（包括理论课、实验室课等）建立质量监控机制，使主要教学环节的实施过程处于有效监控状态；各主要教学环节应有明确的质量要求；应建立对课程体系设置和主要教学环节教学质量的定期评价机制，评价时应重视学生与校内外专家的意见。</w:t>
      </w:r>
    </w:p>
    <w:p>
      <w:pPr>
        <w:spacing w:line="500" w:lineRule="exact"/>
        <w:ind w:firstLine="560"/>
        <w:rPr>
          <w:rFonts w:ascii="Times New Roman" w:hAnsi="Times New Roman" w:eastAsia="黑体"/>
          <w:szCs w:val="21"/>
        </w:rPr>
      </w:pPr>
      <w:bookmarkStart w:id="45" w:name="_Toc423033999"/>
      <w:bookmarkStart w:id="46" w:name="_Toc467853994"/>
      <w:r>
        <w:rPr>
          <w:rFonts w:hint="eastAsia" w:ascii="Times New Roman" w:hAnsi="Times New Roman" w:eastAsia="黑体"/>
          <w:szCs w:val="21"/>
        </w:rPr>
        <w:t xml:space="preserve">7.2  </w:t>
      </w:r>
      <w:bookmarkEnd w:id="45"/>
      <w:bookmarkEnd w:id="46"/>
      <w:r>
        <w:rPr>
          <w:rFonts w:hint="eastAsia" w:ascii="Times New Roman" w:hAnsi="Times New Roman" w:eastAsia="黑体"/>
          <w:szCs w:val="21"/>
        </w:rPr>
        <w:t>毕业生跟踪反馈机制要求</w:t>
      </w:r>
    </w:p>
    <w:p>
      <w:pPr>
        <w:spacing w:line="360" w:lineRule="auto"/>
        <w:ind w:firstLine="560"/>
        <w:rPr>
          <w:rFonts w:ascii="Times New Roman" w:hAnsi="Times New Roman"/>
          <w:szCs w:val="21"/>
        </w:rPr>
      </w:pPr>
      <w:r>
        <w:rPr>
          <w:rFonts w:hint="eastAsia" w:ascii="Times New Roman" w:hAnsi="Times New Roman"/>
          <w:szCs w:val="21"/>
        </w:rPr>
        <w:t>各高校应建立毕业生跟踪反馈机制，及时掌握毕业生就业去向和就业质量、毕业生职业满意度和工作成就感、用人单位对毕业生的满意度等；应采用科学的方法对毕业生跟踪反馈信息进行统计分析，形成分析报告，作为进行质量改进的主要依据。</w:t>
      </w:r>
    </w:p>
    <w:p>
      <w:pPr>
        <w:spacing w:line="500" w:lineRule="exact"/>
        <w:ind w:firstLine="560"/>
        <w:rPr>
          <w:rFonts w:ascii="Times New Roman" w:hAnsi="Times New Roman" w:eastAsia="黑体"/>
          <w:szCs w:val="21"/>
        </w:rPr>
      </w:pPr>
      <w:bookmarkStart w:id="47" w:name="_Toc423034001"/>
      <w:bookmarkStart w:id="48" w:name="_Toc467853996"/>
      <w:r>
        <w:rPr>
          <w:rFonts w:hint="eastAsia" w:ascii="Times New Roman" w:hAnsi="Times New Roman" w:eastAsia="黑体"/>
          <w:szCs w:val="21"/>
        </w:rPr>
        <w:t>7.3  专业的持续改进机制要求</w:t>
      </w:r>
      <w:bookmarkEnd w:id="47"/>
      <w:bookmarkEnd w:id="48"/>
    </w:p>
    <w:p>
      <w:pPr>
        <w:snapToGrid w:val="0"/>
        <w:spacing w:line="500" w:lineRule="exact"/>
        <w:ind w:firstLine="411" w:firstLineChars="196"/>
        <w:rPr>
          <w:rFonts w:ascii="Times New Roman" w:hAnsi="Times New Roman"/>
          <w:szCs w:val="21"/>
        </w:rPr>
      </w:pPr>
      <w:r>
        <w:rPr>
          <w:rFonts w:hint="eastAsia" w:ascii="Times New Roman" w:hAnsi="Times New Roman"/>
          <w:szCs w:val="21"/>
        </w:rPr>
        <w:t>有健全的持续改进机制，并保证其有效运行，使质量监控结果、毕业生跟踪反馈结果及时用于人才培养工作的改进，促进教学质量的不断提高，保证培养的人才对社会需求的适应性。</w:t>
      </w:r>
      <w:bookmarkStart w:id="49" w:name="_Toc423034002"/>
    </w:p>
    <w:p>
      <w:pPr>
        <w:snapToGrid w:val="0"/>
        <w:spacing w:line="500" w:lineRule="exact"/>
        <w:rPr>
          <w:rFonts w:cs="宋体"/>
          <w:sz w:val="28"/>
          <w:szCs w:val="28"/>
        </w:rPr>
      </w:pPr>
    </w:p>
    <w:p>
      <w:pPr>
        <w:spacing w:before="312" w:beforeLines="100" w:after="312" w:afterLines="100" w:line="500" w:lineRule="exact"/>
        <w:jc w:val="center"/>
        <w:rPr>
          <w:rFonts w:ascii="宋体" w:hAnsi="宋体"/>
          <w:b/>
          <w:sz w:val="28"/>
          <w:szCs w:val="28"/>
        </w:rPr>
      </w:pPr>
      <w:r>
        <w:rPr>
          <w:rFonts w:hint="eastAsia" w:ascii="宋体" w:hAnsi="宋体"/>
          <w:b/>
          <w:sz w:val="28"/>
          <w:szCs w:val="28"/>
        </w:rPr>
        <w:t>附录</w:t>
      </w:r>
      <w:bookmarkEnd w:id="49"/>
      <w:bookmarkStart w:id="50" w:name="_Toc423034003"/>
      <w:r>
        <w:rPr>
          <w:rFonts w:hint="eastAsia" w:ascii="宋体" w:hAnsi="宋体"/>
          <w:b/>
          <w:sz w:val="28"/>
          <w:szCs w:val="28"/>
        </w:rPr>
        <w:t xml:space="preserve">  给排水科学与工程专业知识体系和核心课程体系建议</w:t>
      </w:r>
      <w:bookmarkEnd w:id="50"/>
    </w:p>
    <w:p>
      <w:pPr>
        <w:pStyle w:val="2"/>
        <w:spacing w:before="156" w:beforeLines="50" w:after="156" w:afterLines="50"/>
        <w:ind w:right="221" w:firstLine="480" w:firstLineChars="200"/>
        <w:rPr>
          <w:rFonts w:ascii="Times New Roman" w:hAnsi="Times New Roman" w:eastAsia="黑体"/>
          <w:b w:val="0"/>
          <w:sz w:val="24"/>
        </w:rPr>
      </w:pPr>
      <w:bookmarkStart w:id="51" w:name="_Toc423034004"/>
      <w:r>
        <w:rPr>
          <w:rFonts w:hint="eastAsia" w:ascii="Times New Roman" w:hAnsi="Times New Roman" w:eastAsia="黑体"/>
          <w:b w:val="0"/>
          <w:sz w:val="24"/>
        </w:rPr>
        <w:t>1  专业知识体系</w:t>
      </w:r>
      <w:bookmarkEnd w:id="51"/>
    </w:p>
    <w:p>
      <w:pPr>
        <w:spacing w:line="500" w:lineRule="exact"/>
        <w:ind w:firstLine="560"/>
        <w:rPr>
          <w:rFonts w:ascii="Times New Roman" w:hAnsi="Times New Roman" w:eastAsia="黑体"/>
          <w:szCs w:val="21"/>
        </w:rPr>
      </w:pPr>
      <w:bookmarkStart w:id="52" w:name="_Toc423034005"/>
      <w:r>
        <w:rPr>
          <w:rFonts w:hint="eastAsia" w:ascii="Times New Roman" w:hAnsi="Times New Roman" w:eastAsia="黑体"/>
          <w:szCs w:val="21"/>
        </w:rPr>
        <w:t>1.1  知识体系</w:t>
      </w:r>
      <w:bookmarkEnd w:id="52"/>
    </w:p>
    <w:p>
      <w:pPr>
        <w:spacing w:line="360" w:lineRule="auto"/>
        <w:ind w:firstLine="560"/>
        <w:rPr>
          <w:rFonts w:hint="eastAsia" w:ascii="Times New Roman" w:hAnsi="Times New Roman"/>
          <w:szCs w:val="21"/>
        </w:rPr>
      </w:pPr>
      <w:r>
        <w:rPr>
          <w:rFonts w:hint="eastAsia" w:ascii="Times New Roman" w:hAnsi="Times New Roman"/>
          <w:szCs w:val="21"/>
        </w:rPr>
        <w:t>1.1.1  通识类知识</w:t>
      </w:r>
    </w:p>
    <w:p>
      <w:pPr>
        <w:spacing w:line="360" w:lineRule="auto"/>
        <w:ind w:firstLine="560"/>
        <w:rPr>
          <w:rFonts w:ascii="Times New Roman" w:hAnsi="Times New Roman"/>
          <w:szCs w:val="21"/>
        </w:rPr>
      </w:pPr>
      <w:r>
        <w:rPr>
          <w:rFonts w:hint="eastAsia" w:ascii="Times New Roman" w:hAnsi="Times New Roman"/>
          <w:szCs w:val="21"/>
        </w:rPr>
        <w:t>通识类知识包括人文社会科学类、数学和自然科学类两部分。</w:t>
      </w:r>
    </w:p>
    <w:p>
      <w:pPr>
        <w:spacing w:line="360" w:lineRule="auto"/>
        <w:ind w:firstLine="560"/>
        <w:rPr>
          <w:rFonts w:ascii="Times New Roman" w:hAnsi="Times New Roman"/>
          <w:szCs w:val="21"/>
        </w:rPr>
      </w:pPr>
      <w:r>
        <w:rPr>
          <w:rFonts w:hint="eastAsia" w:ascii="Times New Roman" w:hAnsi="Times New Roman"/>
          <w:szCs w:val="21"/>
        </w:rPr>
        <w:t>人文社会科学类包括外语、哲学、政治学、经济学、历史学、法学、心理学、社会学、体育、军事等。</w:t>
      </w:r>
    </w:p>
    <w:p>
      <w:pPr>
        <w:spacing w:line="360" w:lineRule="auto"/>
        <w:ind w:firstLine="560"/>
        <w:rPr>
          <w:rFonts w:ascii="Times New Roman" w:hAnsi="Times New Roman"/>
          <w:szCs w:val="21"/>
        </w:rPr>
      </w:pPr>
      <w:r>
        <w:rPr>
          <w:rFonts w:hint="eastAsia" w:ascii="Times New Roman" w:hAnsi="Times New Roman"/>
          <w:szCs w:val="21"/>
        </w:rPr>
        <w:t>数学和自然科学知识类包括高等数学及工程数学、普通物理学、普通化学、大学物理</w:t>
      </w:r>
      <w:bookmarkStart w:id="53" w:name="OLE_LINK19"/>
      <w:bookmarkStart w:id="54" w:name="OLE_LINK14"/>
      <w:r>
        <w:rPr>
          <w:rFonts w:hint="eastAsia" w:ascii="Times New Roman" w:hAnsi="Times New Roman"/>
          <w:szCs w:val="21"/>
        </w:rPr>
        <w:t>、大学物理实验</w:t>
      </w:r>
      <w:bookmarkEnd w:id="53"/>
      <w:bookmarkEnd w:id="54"/>
      <w:r>
        <w:rPr>
          <w:rFonts w:hint="eastAsia" w:ascii="Times New Roman" w:hAnsi="Times New Roman"/>
          <w:szCs w:val="21"/>
        </w:rPr>
        <w:t>、计算机技术与应用等。具体应符合教育部相关课程教学指导委员会制订的基本要求，各高校可根据自身人才培养定位提高教学要求。</w:t>
      </w:r>
    </w:p>
    <w:p>
      <w:pPr>
        <w:spacing w:line="360" w:lineRule="auto"/>
        <w:ind w:firstLine="560"/>
        <w:rPr>
          <w:rFonts w:ascii="Times New Roman" w:hAnsi="Times New Roman"/>
          <w:szCs w:val="21"/>
        </w:rPr>
      </w:pPr>
      <w:r>
        <w:rPr>
          <w:rFonts w:hint="eastAsia" w:ascii="Times New Roman" w:hAnsi="Times New Roman"/>
          <w:szCs w:val="21"/>
        </w:rPr>
        <w:t>1.1.2  学科基础知识</w:t>
      </w:r>
    </w:p>
    <w:p>
      <w:pPr>
        <w:spacing w:line="360" w:lineRule="auto"/>
        <w:ind w:firstLine="560"/>
        <w:rPr>
          <w:rFonts w:ascii="Times New Roman" w:hAnsi="Times New Roman"/>
          <w:szCs w:val="21"/>
        </w:rPr>
      </w:pPr>
      <w:r>
        <w:rPr>
          <w:rFonts w:hint="eastAsia" w:ascii="Times New Roman" w:hAnsi="Times New Roman"/>
          <w:szCs w:val="21"/>
        </w:rPr>
        <w:t>学科基础知识包括水分析化学、水处理生物学、工程力学、水力学、水文学与水文地质学、土建工程基础、给排水科学与工程概论等。在讲授相应专业基本知识领域和专业方向知识时，必须要讲授相关的专业发展历史和现状。</w:t>
      </w:r>
    </w:p>
    <w:p>
      <w:pPr>
        <w:spacing w:line="360" w:lineRule="auto"/>
        <w:ind w:firstLine="560"/>
        <w:rPr>
          <w:rFonts w:ascii="Times New Roman" w:hAnsi="Times New Roman"/>
          <w:szCs w:val="21"/>
        </w:rPr>
      </w:pPr>
      <w:r>
        <w:rPr>
          <w:rFonts w:hint="eastAsia" w:ascii="Times New Roman" w:hAnsi="Times New Roman"/>
          <w:szCs w:val="21"/>
        </w:rPr>
        <w:t>1.1.3  专业知识</w:t>
      </w:r>
    </w:p>
    <w:p>
      <w:pPr>
        <w:spacing w:line="360" w:lineRule="auto"/>
        <w:ind w:firstLine="560"/>
        <w:rPr>
          <w:rFonts w:ascii="Times New Roman" w:hAnsi="Times New Roman"/>
          <w:szCs w:val="21"/>
        </w:rPr>
      </w:pPr>
      <w:r>
        <w:rPr>
          <w:rFonts w:hint="eastAsia" w:ascii="Times New Roman" w:hAnsi="Times New Roman"/>
          <w:szCs w:val="21"/>
        </w:rPr>
        <w:t>涉及水质控制、水的采集和输配、水系统设备仪表与控制、水工程建设与运营四个核心知识领域，包括水质工程学、泵与泵站、水资源利用与保护、给水排水管网系统、建筑给水排水、水工艺设备基础、给排水工程仪表与控制、水工程施工、水工程经济等课程。</w:t>
      </w:r>
    </w:p>
    <w:p>
      <w:pPr>
        <w:spacing w:line="500" w:lineRule="exact"/>
        <w:ind w:firstLine="560"/>
        <w:rPr>
          <w:rFonts w:ascii="Times New Roman" w:hAnsi="Times New Roman" w:eastAsia="黑体"/>
          <w:szCs w:val="21"/>
        </w:rPr>
      </w:pPr>
      <w:bookmarkStart w:id="55" w:name="_Toc423034006"/>
      <w:r>
        <w:rPr>
          <w:rFonts w:hint="eastAsia" w:ascii="Times New Roman" w:hAnsi="Times New Roman" w:eastAsia="黑体"/>
          <w:szCs w:val="21"/>
        </w:rPr>
        <w:t>1.2主要实践性教学环节</w:t>
      </w:r>
      <w:bookmarkEnd w:id="55"/>
    </w:p>
    <w:p>
      <w:pPr>
        <w:spacing w:line="360" w:lineRule="auto"/>
        <w:ind w:firstLine="560"/>
        <w:rPr>
          <w:rFonts w:ascii="Times New Roman" w:hAnsi="Times New Roman"/>
          <w:szCs w:val="21"/>
        </w:rPr>
      </w:pPr>
      <w:r>
        <w:rPr>
          <w:rFonts w:hint="eastAsia" w:ascii="Times New Roman" w:hAnsi="Times New Roman"/>
          <w:szCs w:val="21"/>
        </w:rPr>
        <w:t>实践教学内容由实验、实习和设计三个实践环节组成。</w:t>
      </w:r>
    </w:p>
    <w:p>
      <w:pPr>
        <w:spacing w:line="360" w:lineRule="auto"/>
        <w:ind w:firstLine="560"/>
        <w:rPr>
          <w:rFonts w:ascii="Times New Roman" w:hAnsi="Times New Roman"/>
          <w:szCs w:val="21"/>
        </w:rPr>
      </w:pPr>
      <w:r>
        <w:rPr>
          <w:rFonts w:hint="eastAsia" w:ascii="Times New Roman" w:hAnsi="Times New Roman"/>
          <w:szCs w:val="21"/>
        </w:rPr>
        <w:t>实验主要包括大学物理实验、大学化学实验、水分析化学实验、水微生物学实验、水力学实验、泵与泵站实验和水质工程学实验等。</w:t>
      </w:r>
    </w:p>
    <w:p>
      <w:pPr>
        <w:spacing w:line="360" w:lineRule="auto"/>
        <w:ind w:firstLine="560"/>
        <w:rPr>
          <w:rFonts w:ascii="Times New Roman" w:hAnsi="Times New Roman"/>
          <w:szCs w:val="21"/>
        </w:rPr>
      </w:pPr>
      <w:r>
        <w:rPr>
          <w:rFonts w:hint="eastAsia" w:ascii="Times New Roman" w:hAnsi="Times New Roman"/>
          <w:szCs w:val="21"/>
        </w:rPr>
        <w:t>实习主要包括测量实习、生产实习和毕业实习等。</w:t>
      </w:r>
    </w:p>
    <w:p>
      <w:pPr>
        <w:spacing w:line="360" w:lineRule="auto"/>
        <w:ind w:firstLine="560"/>
        <w:rPr>
          <w:rFonts w:ascii="Times New Roman" w:hAnsi="Times New Roman"/>
          <w:szCs w:val="21"/>
        </w:rPr>
      </w:pPr>
      <w:r>
        <w:rPr>
          <w:rFonts w:hint="eastAsia" w:ascii="Times New Roman" w:hAnsi="Times New Roman"/>
          <w:szCs w:val="21"/>
        </w:rPr>
        <w:t>设计主要包括两部分，一是课程设计：取水工程课程设计（大作业）、水泵站课程设计、给水管网系统课程设计、排水管网系统课程设计、给水厂课程设计、污水厂课程设计、建筑给水排水工程课程设计；二是毕业设计（论文）：给水工程、排水工程、建筑给水排水工程等。</w:t>
      </w:r>
    </w:p>
    <w:p>
      <w:pPr>
        <w:pStyle w:val="2"/>
        <w:spacing w:before="156" w:beforeLines="50" w:after="156" w:afterLines="50"/>
        <w:ind w:right="221" w:firstLine="480" w:firstLineChars="200"/>
        <w:rPr>
          <w:rFonts w:ascii="Times New Roman" w:hAnsi="Times New Roman" w:eastAsia="黑体"/>
          <w:b w:val="0"/>
          <w:sz w:val="24"/>
        </w:rPr>
      </w:pPr>
      <w:bookmarkStart w:id="56" w:name="_Toc423034007"/>
      <w:r>
        <w:rPr>
          <w:rFonts w:hint="eastAsia" w:ascii="Times New Roman" w:hAnsi="Times New Roman" w:eastAsia="黑体"/>
          <w:b w:val="0"/>
          <w:sz w:val="24"/>
        </w:rPr>
        <w:t>2  专业核心课程建议</w:t>
      </w:r>
      <w:bookmarkEnd w:id="56"/>
    </w:p>
    <w:p>
      <w:pPr>
        <w:spacing w:line="500" w:lineRule="exact"/>
        <w:ind w:firstLine="560"/>
        <w:rPr>
          <w:rFonts w:ascii="Times New Roman" w:hAnsi="Times New Roman" w:eastAsia="黑体"/>
          <w:szCs w:val="21"/>
        </w:rPr>
      </w:pPr>
      <w:bookmarkStart w:id="57" w:name="_Toc423034008"/>
      <w:r>
        <w:rPr>
          <w:rFonts w:hint="eastAsia" w:ascii="Times New Roman" w:hAnsi="Times New Roman" w:eastAsia="黑体"/>
          <w:szCs w:val="21"/>
        </w:rPr>
        <w:t>2.1  课程体系构建原则</w:t>
      </w:r>
      <w:bookmarkEnd w:id="57"/>
    </w:p>
    <w:p>
      <w:pPr>
        <w:spacing w:line="360" w:lineRule="auto"/>
        <w:ind w:firstLine="560"/>
        <w:rPr>
          <w:rFonts w:ascii="Times New Roman" w:hAnsi="Times New Roman"/>
          <w:szCs w:val="21"/>
        </w:rPr>
      </w:pPr>
      <w:r>
        <w:rPr>
          <w:rFonts w:hint="eastAsia" w:ascii="Times New Roman" w:hAnsi="Times New Roman"/>
          <w:szCs w:val="21"/>
        </w:rPr>
        <w:t>课程设置应能支持专业培养目标的达成。为此，课程体系应支持人才培养各项要求的有效达成。</w:t>
      </w:r>
    </w:p>
    <w:p>
      <w:pPr>
        <w:spacing w:line="360" w:lineRule="auto"/>
        <w:ind w:firstLine="560"/>
        <w:rPr>
          <w:rFonts w:ascii="Times New Roman" w:hAnsi="Times New Roman"/>
          <w:szCs w:val="21"/>
        </w:rPr>
      </w:pPr>
      <w:r>
        <w:rPr>
          <w:rFonts w:hint="eastAsia" w:ascii="Times New Roman" w:hAnsi="Times New Roman"/>
          <w:szCs w:val="21"/>
        </w:rPr>
        <w:t>人文社会科学类课程学时占15%左右；数学与自然科学类课程学时至少占15%，实践内容学时占20%左右，学科基础知识和专业知识课程学时占30%左右，其余学时各校可根据办学特色在以上四类课程中分配。</w:t>
      </w:r>
    </w:p>
    <w:p>
      <w:pPr>
        <w:spacing w:line="360" w:lineRule="auto"/>
        <w:ind w:firstLine="560"/>
        <w:rPr>
          <w:rFonts w:ascii="Times New Roman" w:hAnsi="Times New Roman"/>
          <w:szCs w:val="21"/>
        </w:rPr>
      </w:pPr>
      <w:r>
        <w:rPr>
          <w:rFonts w:hint="eastAsia" w:ascii="Times New Roman" w:hAnsi="Times New Roman"/>
          <w:szCs w:val="21"/>
        </w:rPr>
        <w:t>人文社会科学类教育能够使学生在从事工程设计时考虑经济、环境、法律、伦理等各种制约因素。</w:t>
      </w:r>
    </w:p>
    <w:p>
      <w:pPr>
        <w:spacing w:line="360" w:lineRule="auto"/>
        <w:ind w:firstLine="560"/>
        <w:rPr>
          <w:rFonts w:ascii="Times New Roman" w:hAnsi="Times New Roman"/>
          <w:szCs w:val="21"/>
        </w:rPr>
      </w:pPr>
      <w:r>
        <w:rPr>
          <w:rFonts w:hint="eastAsia" w:ascii="Times New Roman" w:hAnsi="Times New Roman"/>
          <w:szCs w:val="21"/>
        </w:rPr>
        <w:t>数学与自然科学教育能够使学生掌握理论与实验的方法，将相应基本概念运用到实际工程中，并能进行分析推理。</w:t>
      </w:r>
    </w:p>
    <w:p>
      <w:pPr>
        <w:spacing w:line="360" w:lineRule="auto"/>
        <w:ind w:firstLine="560"/>
        <w:rPr>
          <w:rFonts w:ascii="Times New Roman" w:hAnsi="Times New Roman"/>
          <w:szCs w:val="21"/>
        </w:rPr>
      </w:pPr>
      <w:r>
        <w:rPr>
          <w:rFonts w:hint="eastAsia" w:ascii="Times New Roman" w:hAnsi="Times New Roman"/>
          <w:szCs w:val="21"/>
        </w:rPr>
        <w:t>学科基础类课程应包括学科的基础内容，能体现数学和自然科学在本专业应用的能力培养；专业类课程、实践环节应能体现给水排水工程设计和实施能力的培养。</w:t>
      </w:r>
    </w:p>
    <w:p>
      <w:pPr>
        <w:spacing w:line="360" w:lineRule="auto"/>
        <w:ind w:firstLine="560"/>
        <w:rPr>
          <w:rFonts w:ascii="Times New Roman" w:hAnsi="Times New Roman"/>
          <w:szCs w:val="21"/>
        </w:rPr>
      </w:pPr>
      <w:r>
        <w:rPr>
          <w:rFonts w:hint="eastAsia" w:ascii="Times New Roman" w:hAnsi="Times New Roman"/>
          <w:szCs w:val="21"/>
        </w:rPr>
        <w:t>课程体系的设置应有企业或行业专家参与。</w:t>
      </w:r>
    </w:p>
    <w:p>
      <w:pPr>
        <w:spacing w:line="500" w:lineRule="exact"/>
        <w:ind w:firstLine="560"/>
        <w:rPr>
          <w:rFonts w:ascii="Times New Roman" w:hAnsi="Times New Roman" w:eastAsia="黑体"/>
          <w:szCs w:val="21"/>
        </w:rPr>
      </w:pPr>
      <w:bookmarkStart w:id="58" w:name="_Toc423034009"/>
      <w:bookmarkStart w:id="59" w:name="_Toc467853997"/>
      <w:r>
        <w:rPr>
          <w:rFonts w:hint="eastAsia" w:ascii="Times New Roman" w:hAnsi="Times New Roman" w:eastAsia="黑体"/>
          <w:szCs w:val="21"/>
        </w:rPr>
        <w:t>2.2  核心课程体系</w:t>
      </w:r>
      <w:bookmarkEnd w:id="58"/>
      <w:bookmarkEnd w:id="59"/>
      <w:r>
        <w:rPr>
          <w:rFonts w:hint="eastAsia" w:ascii="Times New Roman" w:hAnsi="Times New Roman" w:eastAsia="黑体"/>
          <w:szCs w:val="21"/>
        </w:rPr>
        <w:t>（括号内数字为建议最低理论学时数+最低实验学时数）</w:t>
      </w:r>
    </w:p>
    <w:p>
      <w:pPr>
        <w:spacing w:line="360" w:lineRule="auto"/>
        <w:ind w:firstLine="560"/>
        <w:rPr>
          <w:rFonts w:ascii="Times New Roman" w:hAnsi="Times New Roman"/>
          <w:szCs w:val="21"/>
        </w:rPr>
      </w:pPr>
      <w:r>
        <w:rPr>
          <w:rFonts w:hint="eastAsia" w:ascii="Times New Roman" w:hAnsi="Times New Roman"/>
          <w:szCs w:val="21"/>
        </w:rPr>
        <w:t>专业知识体系中的核心课程：水分析化学（24+10）、水处理生物学（24+16）、工程力学（40+0）、水力学（40+14）、水文学与水文地质学（20+0）、土建工程基础（20+0）、给排水科学与工程概论（16+0）、水质工程学（64+16）、泵与泵站（24+2）、水资源利用与保护（20+0）、给水排水管网系统（32+0）、建筑给水排水工程（32+0）、水工艺设备基础（20+0）、给排水工程仪表与控制（16+0）、水工程施工（16+0）、水工程经济（16+0）。</w:t>
      </w:r>
    </w:p>
    <w:p>
      <w:pPr>
        <w:pStyle w:val="2"/>
        <w:spacing w:before="156" w:beforeLines="50" w:after="156" w:afterLines="50"/>
        <w:ind w:right="221" w:firstLine="480" w:firstLineChars="200"/>
        <w:rPr>
          <w:rFonts w:ascii="Times New Roman" w:hAnsi="Times New Roman" w:eastAsia="黑体"/>
          <w:b w:val="0"/>
          <w:sz w:val="24"/>
        </w:rPr>
      </w:pPr>
      <w:bookmarkStart w:id="60" w:name="_Toc423034010"/>
      <w:r>
        <w:rPr>
          <w:rFonts w:hint="eastAsia" w:ascii="Times New Roman" w:hAnsi="Times New Roman" w:eastAsia="黑体"/>
          <w:b w:val="0"/>
          <w:sz w:val="24"/>
        </w:rPr>
        <w:t>3  人才培养多样化建议</w:t>
      </w:r>
      <w:bookmarkEnd w:id="60"/>
    </w:p>
    <w:p>
      <w:pPr>
        <w:spacing w:line="360" w:lineRule="auto"/>
        <w:ind w:firstLine="560"/>
        <w:rPr>
          <w:rFonts w:ascii="Times New Roman" w:hAnsi="Times New Roman"/>
          <w:szCs w:val="21"/>
        </w:rPr>
      </w:pPr>
      <w:r>
        <w:rPr>
          <w:rFonts w:hint="eastAsia" w:ascii="Times New Roman" w:hAnsi="Times New Roman"/>
          <w:szCs w:val="21"/>
        </w:rPr>
        <w:t>鼓励各高校依据自身办学定位和人才培养目标，以适应社会对多样化人才培养的需要和满足学生继续深造及就业的不同需求为导向，在满足人才培养基本要求的基础上，准确定位，办出特色。各高校应积极探索研究型、应用型人才培养模式，并建立与之相适应的课程体系。</w:t>
      </w:r>
    </w:p>
    <w:p>
      <w:pPr>
        <w:spacing w:line="360" w:lineRule="auto"/>
        <w:ind w:firstLine="560"/>
        <w:rPr>
          <w:rFonts w:ascii="Times New Roman" w:hAnsi="Times New Roman"/>
          <w:szCs w:val="21"/>
        </w:rPr>
      </w:pPr>
      <w:r>
        <w:rPr>
          <w:rFonts w:hint="eastAsia" w:ascii="Times New Roman" w:hAnsi="Times New Roman"/>
          <w:szCs w:val="21"/>
        </w:rPr>
        <w:t>应切实转变教育思想，更新观念，树立科学的人才培养质量观，解决人才培养的目标和定位问题。社会对人才的需求是多层面、多规格的。各高校应按照各自的办学条件、生源状况和所处地区、行业等实际情况，确定各自的专业发展目标和办学特色。</w:t>
      </w:r>
    </w:p>
    <w:p>
      <w:pPr>
        <w:pStyle w:val="2"/>
        <w:spacing w:before="156" w:beforeLines="50" w:after="156" w:afterLines="50"/>
        <w:ind w:right="221" w:firstLine="480" w:firstLineChars="200"/>
        <w:rPr>
          <w:rFonts w:hint="eastAsia" w:ascii="Times New Roman" w:hAnsi="Times New Roman" w:eastAsia="黑体"/>
          <w:b w:val="0"/>
          <w:sz w:val="24"/>
        </w:rPr>
      </w:pPr>
      <w:bookmarkStart w:id="61" w:name="_Toc423034011"/>
      <w:r>
        <w:rPr>
          <w:rFonts w:hint="eastAsia" w:ascii="Times New Roman" w:hAnsi="Times New Roman" w:eastAsia="黑体"/>
          <w:b w:val="0"/>
          <w:sz w:val="24"/>
        </w:rPr>
        <w:t>4  有关名词释义和数据计算方法</w:t>
      </w:r>
      <w:bookmarkEnd w:id="61"/>
    </w:p>
    <w:p>
      <w:pPr>
        <w:pStyle w:val="2"/>
        <w:spacing w:before="156" w:beforeLines="50" w:after="156" w:afterLines="50"/>
        <w:ind w:left="480" w:right="221"/>
        <w:rPr>
          <w:rFonts w:ascii="Times New Roman" w:hAnsi="Times New Roman" w:eastAsia="黑体"/>
          <w:b w:val="0"/>
          <w:color w:val="auto"/>
          <w:sz w:val="21"/>
          <w:szCs w:val="21"/>
        </w:rPr>
      </w:pPr>
      <w:r>
        <w:rPr>
          <w:rFonts w:hint="eastAsia" w:ascii="Times New Roman" w:hAnsi="Times New Roman" w:eastAsia="黑体"/>
          <w:b w:val="0"/>
          <w:color w:val="auto"/>
          <w:sz w:val="21"/>
          <w:szCs w:val="21"/>
        </w:rPr>
        <w:t>4.1  名词释义</w:t>
      </w:r>
    </w:p>
    <w:p>
      <w:pPr>
        <w:spacing w:line="360" w:lineRule="auto"/>
        <w:ind w:firstLine="525" w:firstLineChars="250"/>
        <w:rPr>
          <w:rFonts w:hint="eastAsia" w:ascii="Times New Roman" w:hAnsi="Times New Roman"/>
          <w:szCs w:val="21"/>
        </w:rPr>
      </w:pPr>
      <w:r>
        <w:rPr>
          <w:rFonts w:hint="eastAsia" w:ascii="Times New Roman" w:hAnsi="Times New Roman"/>
          <w:szCs w:val="21"/>
        </w:rPr>
        <w:t>（1）专任教师</w:t>
      </w:r>
    </w:p>
    <w:p>
      <w:pPr>
        <w:spacing w:line="360" w:lineRule="auto"/>
        <w:ind w:firstLine="630" w:firstLineChars="300"/>
        <w:rPr>
          <w:rFonts w:hint="eastAsia" w:ascii="Times New Roman" w:hAnsi="Times New Roman"/>
          <w:szCs w:val="21"/>
        </w:rPr>
      </w:pPr>
      <w:r>
        <w:rPr>
          <w:rFonts w:hint="eastAsia" w:ascii="Times New Roman" w:hAnsi="Times New Roman"/>
          <w:szCs w:val="21"/>
        </w:rPr>
        <w:t>指承担学科基础知识和专业知识教学任务的教师。</w:t>
      </w:r>
    </w:p>
    <w:p>
      <w:pPr>
        <w:spacing w:line="360" w:lineRule="auto"/>
        <w:ind w:firstLine="630" w:firstLineChars="300"/>
        <w:rPr>
          <w:rFonts w:hint="eastAsia" w:ascii="Times New Roman" w:hAnsi="Times New Roman"/>
          <w:szCs w:val="21"/>
        </w:rPr>
      </w:pPr>
      <w:r>
        <w:rPr>
          <w:rFonts w:hint="eastAsia" w:ascii="Times New Roman" w:hAnsi="Times New Roman"/>
          <w:szCs w:val="21"/>
        </w:rPr>
        <w:t>（2）教学日常运行支出</w:t>
      </w:r>
    </w:p>
    <w:p>
      <w:pPr>
        <w:spacing w:line="360" w:lineRule="auto"/>
        <w:ind w:left="210" w:leftChars="100" w:firstLine="453" w:firstLineChars="216"/>
        <w:rPr>
          <w:rFonts w:ascii="Times New Roman" w:hAnsi="Times New Roman"/>
          <w:szCs w:val="21"/>
        </w:rPr>
      </w:pPr>
      <w:r>
        <w:rPr>
          <w:rFonts w:hint="eastAsia" w:ascii="Times New Roman" w:hAnsi="Times New Roman"/>
          <w:szCs w:val="21"/>
        </w:rPr>
        <w:t>指开展本专业教学活动及其辅助活动发生的支出，仅指教学基本支出中的商品和服务支出，不包括教学专项拨款支出，具体包括：教学教辅部门发生的办公费（含考试考务费、手续费等）、印刷费、咨询费、邮电费、交通费、差旅费、出国费、维修（护）费、租赁费、会议费、培训费等。</w:t>
      </w:r>
    </w:p>
    <w:p/>
    <w:p>
      <w:pPr>
        <w:pStyle w:val="2"/>
        <w:spacing w:before="156" w:beforeLines="50" w:after="156" w:afterLines="50"/>
        <w:ind w:left="480" w:right="221"/>
        <w:rPr>
          <w:rFonts w:hint="eastAsia" w:ascii="Times New Roman" w:hAnsi="Times New Roman" w:eastAsia="黑体"/>
          <w:b w:val="0"/>
          <w:color w:val="auto"/>
          <w:sz w:val="21"/>
          <w:szCs w:val="21"/>
        </w:rPr>
      </w:pPr>
      <w:r>
        <w:rPr>
          <w:rFonts w:hint="eastAsia" w:ascii="Times New Roman" w:hAnsi="Times New Roman" w:eastAsia="黑体"/>
          <w:b w:val="0"/>
          <w:color w:val="auto"/>
          <w:sz w:val="21"/>
          <w:szCs w:val="21"/>
        </w:rPr>
        <w:t>4.2数据计算方法</w:t>
      </w:r>
    </w:p>
    <w:p>
      <w:pPr>
        <w:ind w:firstLine="420" w:firstLineChars="200"/>
      </w:pPr>
      <w:r>
        <w:rPr>
          <w:rFonts w:hint="eastAsia"/>
        </w:rPr>
        <w:t>（1）</w:t>
      </w:r>
      <w:r>
        <w:rPr>
          <w:rFonts w:hint="eastAsia" w:ascii="Times New Roman" w:hAnsi="Times New Roman"/>
          <w:szCs w:val="21"/>
        </w:rPr>
        <w:t>教师总数</w:t>
      </w:r>
    </w:p>
    <w:p>
      <w:pPr>
        <w:spacing w:line="360" w:lineRule="auto"/>
        <w:ind w:firstLine="560"/>
        <w:rPr>
          <w:rFonts w:hint="eastAsia" w:ascii="Times New Roman" w:hAnsi="Times New Roman"/>
          <w:szCs w:val="21"/>
        </w:rPr>
      </w:pPr>
      <w:r>
        <w:rPr>
          <w:rFonts w:hint="eastAsia" w:ascii="Times New Roman" w:hAnsi="Times New Roman"/>
          <w:szCs w:val="21"/>
        </w:rPr>
        <w:t>教师总数＝专任教师数+聘请校外教师数*0.5</w:t>
      </w:r>
    </w:p>
    <w:p>
      <w:pPr>
        <w:spacing w:line="360" w:lineRule="auto"/>
        <w:ind w:firstLine="560"/>
        <w:rPr>
          <w:rFonts w:ascii="Times New Roman" w:hAnsi="Times New Roman"/>
          <w:szCs w:val="21"/>
        </w:rPr>
      </w:pPr>
      <w:r>
        <w:rPr>
          <w:rFonts w:hint="eastAsia" w:ascii="Times New Roman" w:hAnsi="Times New Roman"/>
          <w:szCs w:val="21"/>
        </w:rPr>
        <w:t>（2）折合在校生数</w:t>
      </w:r>
    </w:p>
    <w:p>
      <w:pPr>
        <w:spacing w:line="360" w:lineRule="auto"/>
        <w:ind w:firstLine="560"/>
        <w:rPr>
          <w:rFonts w:hint="eastAsia" w:ascii="Times New Roman" w:hAnsi="Times New Roman"/>
          <w:szCs w:val="21"/>
        </w:rPr>
      </w:pPr>
      <w:r>
        <w:rPr>
          <w:rFonts w:hint="eastAsia" w:ascii="Times New Roman" w:hAnsi="Times New Roman"/>
          <w:szCs w:val="21"/>
        </w:rPr>
        <w:t>折合在校生数＝普通本、专科(高职)生数+硕士生数*1.5+博士生数*2+留学生数*3+预科生数+进修生数+成人脱产班学生数+夜大(业余)学生数*0.3+函授生数*0.1</w:t>
      </w:r>
    </w:p>
    <w:p>
      <w:pPr>
        <w:spacing w:line="360" w:lineRule="auto"/>
        <w:ind w:firstLine="560"/>
        <w:rPr>
          <w:rFonts w:ascii="Times New Roman" w:hAnsi="Times New Roman"/>
          <w:szCs w:val="21"/>
        </w:rPr>
      </w:pPr>
      <w:r>
        <w:rPr>
          <w:rFonts w:hint="eastAsia" w:ascii="Times New Roman" w:hAnsi="Times New Roman"/>
          <w:szCs w:val="21"/>
        </w:rPr>
        <w:t>（3）专业生均教学科研仪器设备值</w:t>
      </w:r>
    </w:p>
    <w:p>
      <w:pPr>
        <w:spacing w:line="360" w:lineRule="auto"/>
        <w:ind w:firstLine="560"/>
        <w:rPr>
          <w:rFonts w:hint="eastAsia" w:ascii="Times New Roman" w:hAnsi="Times New Roman"/>
          <w:szCs w:val="21"/>
        </w:rPr>
      </w:pPr>
      <w:r>
        <w:rPr>
          <w:rFonts w:hint="eastAsia" w:ascii="Times New Roman" w:hAnsi="Times New Roman"/>
          <w:szCs w:val="21"/>
        </w:rPr>
        <w:t>专业生均教学科研仪器设备值＝教学科研仪器设备资产总值／折合在校生数</w:t>
      </w:r>
    </w:p>
    <w:p>
      <w:pPr>
        <w:spacing w:line="360" w:lineRule="auto"/>
        <w:ind w:firstLine="560"/>
        <w:rPr>
          <w:rFonts w:ascii="Times New Roman" w:hAnsi="Times New Roman"/>
          <w:szCs w:val="21"/>
        </w:rPr>
      </w:pPr>
      <w:r>
        <w:rPr>
          <w:rFonts w:hint="eastAsia" w:ascii="Times New Roman" w:hAnsi="Times New Roman"/>
          <w:szCs w:val="21"/>
        </w:rPr>
        <w:t>（4）专业生均年进书量</w:t>
      </w:r>
    </w:p>
    <w:p>
      <w:pPr>
        <w:spacing w:line="360" w:lineRule="auto"/>
        <w:ind w:firstLine="560"/>
        <w:rPr>
          <w:rFonts w:ascii="Times New Roman" w:hAnsi="Times New Roman"/>
          <w:szCs w:val="21"/>
        </w:rPr>
      </w:pPr>
      <w:r>
        <w:rPr>
          <w:rFonts w:hint="eastAsia" w:ascii="Times New Roman" w:hAnsi="Times New Roman"/>
          <w:szCs w:val="21"/>
        </w:rPr>
        <w:t>专业生均年进书量＝当年新增图书量／折合在校生数</w:t>
      </w:r>
    </w:p>
    <w:sectPr>
      <w:footerReference r:id="rId3" w:type="default"/>
      <w:pgSz w:w="11906" w:h="16838"/>
      <w:pgMar w:top="1440" w:right="1080" w:bottom="144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3639355"/>
      <w:docPartObj>
        <w:docPartGallery w:val="autotext"/>
      </w:docPartObj>
    </w:sdtPr>
    <w:sdtContent>
      <w:sdt>
        <w:sdtPr>
          <w:id w:val="-1669238322"/>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99"/>
    <w:rsid w:val="00284901"/>
    <w:rsid w:val="00406878"/>
    <w:rsid w:val="00406D0F"/>
    <w:rsid w:val="004D467E"/>
    <w:rsid w:val="004F15E1"/>
    <w:rsid w:val="005A7735"/>
    <w:rsid w:val="006C26DF"/>
    <w:rsid w:val="007F3499"/>
    <w:rsid w:val="00894033"/>
    <w:rsid w:val="008C1865"/>
    <w:rsid w:val="008E4D18"/>
    <w:rsid w:val="00B14101"/>
    <w:rsid w:val="00B514E4"/>
    <w:rsid w:val="00C10AEF"/>
    <w:rsid w:val="00DA43C0"/>
    <w:rsid w:val="00EF31D0"/>
    <w:rsid w:val="00F25C20"/>
    <w:rsid w:val="00F72577"/>
    <w:rsid w:val="0B85713E"/>
    <w:rsid w:val="6CFC1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qFormat/>
    <w:uiPriority w:val="0"/>
    <w:pPr>
      <w:widowControl/>
      <w:snapToGrid w:val="0"/>
      <w:spacing w:line="500" w:lineRule="exact"/>
      <w:ind w:right="220"/>
      <w:jc w:val="left"/>
      <w:outlineLvl w:val="1"/>
    </w:pPr>
    <w:rPr>
      <w:rFonts w:ascii="宋体" w:hAnsi="宋体"/>
      <w:b/>
      <w:color w:val="000000"/>
      <w:sz w:val="28"/>
      <w:szCs w:val="28"/>
    </w:rPr>
  </w:style>
  <w:style w:type="paragraph" w:styleId="3">
    <w:name w:val="heading 3"/>
    <w:basedOn w:val="1"/>
    <w:next w:val="1"/>
    <w:link w:val="10"/>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line="360" w:lineRule="auto"/>
      <w:jc w:val="center"/>
      <w:outlineLvl w:val="0"/>
    </w:pPr>
    <w:rPr>
      <w:rFonts w:ascii="Calibri Light" w:hAnsi="Calibri Light"/>
      <w:b/>
      <w:bCs/>
      <w:sz w:val="32"/>
      <w:szCs w:val="32"/>
    </w:rPr>
  </w:style>
  <w:style w:type="character" w:customStyle="1" w:styleId="9">
    <w:name w:val="标题 2 Char"/>
    <w:basedOn w:val="7"/>
    <w:link w:val="2"/>
    <w:qFormat/>
    <w:uiPriority w:val="0"/>
    <w:rPr>
      <w:rFonts w:ascii="宋体" w:hAnsi="宋体" w:eastAsia="宋体" w:cs="Times New Roman"/>
      <w:b/>
      <w:color w:val="000000"/>
      <w:sz w:val="28"/>
      <w:szCs w:val="28"/>
    </w:rPr>
  </w:style>
  <w:style w:type="character" w:customStyle="1" w:styleId="10">
    <w:name w:val="标题 3 Char"/>
    <w:basedOn w:val="7"/>
    <w:link w:val="3"/>
    <w:uiPriority w:val="0"/>
    <w:rPr>
      <w:rFonts w:ascii="Calibri" w:hAnsi="Calibri" w:eastAsia="宋体" w:cs="Times New Roman"/>
      <w:b/>
      <w:bCs/>
      <w:sz w:val="32"/>
      <w:szCs w:val="32"/>
    </w:rPr>
  </w:style>
  <w:style w:type="character" w:customStyle="1" w:styleId="11">
    <w:name w:val="标题 Char"/>
    <w:basedOn w:val="7"/>
    <w:link w:val="6"/>
    <w:uiPriority w:val="0"/>
    <w:rPr>
      <w:rFonts w:ascii="Calibri Light" w:hAnsi="Calibri Light" w:eastAsia="宋体" w:cs="Times New Roman"/>
      <w:b/>
      <w:bCs/>
      <w:sz w:val="32"/>
      <w:szCs w:val="32"/>
    </w:rPr>
  </w:style>
  <w:style w:type="character" w:customStyle="1" w:styleId="12">
    <w:name w:val="页眉 Char"/>
    <w:basedOn w:val="7"/>
    <w:link w:val="5"/>
    <w:uiPriority w:val="99"/>
    <w:rPr>
      <w:rFonts w:ascii="Calibri" w:hAnsi="Calibri" w:eastAsia="宋体" w:cs="Times New Roman"/>
      <w:sz w:val="18"/>
      <w:szCs w:val="18"/>
    </w:rPr>
  </w:style>
  <w:style w:type="character" w:customStyle="1" w:styleId="13">
    <w:name w:val="页脚 Char"/>
    <w:basedOn w:val="7"/>
    <w:link w:val="4"/>
    <w:qFormat/>
    <w:uiPriority w:val="99"/>
    <w:rPr>
      <w:rFonts w:ascii="Calibri" w:hAnsi="Calibri" w:eastAsia="宋体" w:cs="Times New Roman"/>
      <w:sz w:val="18"/>
      <w:szCs w:val="18"/>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931</Words>
  <Characters>5312</Characters>
  <Lines>44</Lines>
  <Paragraphs>12</Paragraphs>
  <TotalTime>96</TotalTime>
  <ScaleCrop>false</ScaleCrop>
  <LinksUpToDate>false</LinksUpToDate>
  <CharactersWithSpaces>6231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2018-04-12T13:53:00Z</dcterms:created>
  <dc:creator>lenovo</dc:creator>
  <cp:lastModifiedBy>一个人的大学</cp:lastModifiedBy>
  <dcterms:modified xsi:type="dcterms:W3CDTF">2018-05-18T07:29:44Z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